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cs="宋体" w:asciiTheme="minorEastAsia" w:hAnsiTheme="minorEastAsia"/>
          <w:sz w:val="48"/>
          <w:szCs w:val="48"/>
          <w:u w:val="single"/>
        </w:rPr>
      </w:pPr>
    </w:p>
    <w:p>
      <w:pPr>
        <w:pStyle w:val="9"/>
        <w:jc w:val="center"/>
        <w:rPr>
          <w:rFonts w:cs="宋体" w:asciiTheme="minorEastAsia" w:hAnsiTheme="minorEastAsia"/>
          <w:sz w:val="48"/>
          <w:szCs w:val="48"/>
          <w:u w:val="single"/>
        </w:rPr>
      </w:pPr>
    </w:p>
    <w:p>
      <w:pPr>
        <w:pStyle w:val="9"/>
        <w:jc w:val="center"/>
        <w:rPr>
          <w:rFonts w:cs="宋体" w:asciiTheme="minorEastAsia" w:hAnsiTheme="minorEastAsia"/>
          <w:sz w:val="48"/>
          <w:szCs w:val="48"/>
          <w:u w:val="single"/>
        </w:rPr>
      </w:pPr>
    </w:p>
    <w:p>
      <w:pPr>
        <w:pStyle w:val="9"/>
        <w:jc w:val="center"/>
        <w:rPr>
          <w:rFonts w:cs="宋体" w:asciiTheme="minorEastAsia" w:hAnsiTheme="minorEastAsia"/>
          <w:sz w:val="48"/>
          <w:szCs w:val="48"/>
          <w:u w:val="single"/>
        </w:rPr>
      </w:pPr>
    </w:p>
    <w:p>
      <w:pPr>
        <w:pStyle w:val="9"/>
        <w:jc w:val="center"/>
        <w:rPr>
          <w:rFonts w:cs="宋体" w:asciiTheme="minorEastAsia" w:hAnsiTheme="minorEastAsia"/>
          <w:sz w:val="48"/>
          <w:szCs w:val="48"/>
          <w:u w:val="single"/>
        </w:rPr>
      </w:pPr>
    </w:p>
    <w:p>
      <w:pPr>
        <w:pStyle w:val="9"/>
        <w:jc w:val="center"/>
        <w:rPr>
          <w:rFonts w:hint="eastAsia" w:eastAsiaTheme="minorEastAsia"/>
          <w:lang w:eastAsia="zh-CN"/>
        </w:rPr>
      </w:pPr>
      <w:r>
        <w:rPr>
          <w:rFonts w:hint="eastAsia" w:cs="宋体" w:asciiTheme="minorEastAsia" w:hAnsiTheme="minorEastAsia"/>
          <w:sz w:val="48"/>
          <w:szCs w:val="48"/>
          <w:u w:val="single"/>
          <w:lang w:eastAsia="zh-CN"/>
        </w:rPr>
        <w:t>2024年临江公司废油桶委外处置服务项目</w:t>
      </w:r>
    </w:p>
    <w:p>
      <w:pPr>
        <w:adjustRightInd w:val="0"/>
        <w:snapToGrid w:val="0"/>
        <w:spacing w:line="360" w:lineRule="auto"/>
        <w:jc w:val="center"/>
        <w:rPr>
          <w:rFonts w:cs="宋体" w:asciiTheme="minorEastAsia" w:hAnsiTheme="minorEastAsia"/>
          <w:sz w:val="48"/>
          <w:szCs w:val="48"/>
        </w:rPr>
      </w:pPr>
    </w:p>
    <w:p>
      <w:pPr>
        <w:adjustRightInd w:val="0"/>
        <w:snapToGrid w:val="0"/>
        <w:spacing w:line="360" w:lineRule="auto"/>
        <w:jc w:val="center"/>
        <w:rPr>
          <w:rFonts w:cs="宋体" w:asciiTheme="minorEastAsia" w:hAnsiTheme="minorEastAsia"/>
          <w:b/>
          <w:bCs/>
          <w:sz w:val="48"/>
          <w:szCs w:val="48"/>
        </w:rPr>
      </w:pPr>
      <w:r>
        <w:rPr>
          <w:rFonts w:hint="eastAsia" w:cs="宋体" w:asciiTheme="minorEastAsia" w:hAnsiTheme="minorEastAsia"/>
          <w:b/>
          <w:bCs/>
          <w:sz w:val="48"/>
          <w:szCs w:val="48"/>
        </w:rPr>
        <w:t>询价采购文件</w:t>
      </w:r>
    </w:p>
    <w:p>
      <w:pPr>
        <w:adjustRightInd w:val="0"/>
        <w:snapToGrid w:val="0"/>
        <w:spacing w:line="360" w:lineRule="auto"/>
        <w:jc w:val="center"/>
        <w:rPr>
          <w:rFonts w:hint="eastAsia" w:cs="宋体" w:asciiTheme="minorEastAsia" w:hAnsiTheme="minorEastAsia" w:eastAsiaTheme="minorEastAsia"/>
          <w:sz w:val="30"/>
          <w:szCs w:val="30"/>
          <w:highlight w:val="none"/>
          <w:lang w:val="en-US" w:eastAsia="zh-CN"/>
        </w:rPr>
      </w:pPr>
      <w:r>
        <w:rPr>
          <w:rFonts w:hint="eastAsia" w:cs="宋体" w:asciiTheme="minorEastAsia" w:hAnsiTheme="minorEastAsia"/>
          <w:sz w:val="30"/>
          <w:szCs w:val="30"/>
          <w:highlight w:val="none"/>
        </w:rPr>
        <w:t>编号：</w:t>
      </w:r>
      <w:r>
        <w:rPr>
          <w:rFonts w:hint="eastAsia" w:cs="宋体" w:asciiTheme="minorEastAsia" w:hAnsiTheme="minorEastAsia"/>
          <w:sz w:val="30"/>
          <w:szCs w:val="30"/>
          <w:highlight w:val="none"/>
          <w:u w:val="single"/>
          <w:lang w:eastAsia="zh-CN"/>
        </w:rPr>
        <w:t>202402022</w:t>
      </w:r>
    </w:p>
    <w:p>
      <w:pPr>
        <w:spacing w:line="360" w:lineRule="auto"/>
        <w:jc w:val="center"/>
        <w:rPr>
          <w:rFonts w:cs="仿宋" w:asciiTheme="minorEastAsia" w:hAnsiTheme="minorEastAsia"/>
          <w:b/>
          <w:bCs/>
          <w:sz w:val="72"/>
          <w:szCs w:val="72"/>
        </w:rPr>
      </w:pPr>
    </w:p>
    <w:p>
      <w:pPr>
        <w:pStyle w:val="7"/>
        <w:rPr>
          <w:rFonts w:asciiTheme="minorEastAsia" w:hAnsiTheme="minorEastAsia"/>
        </w:rPr>
      </w:pPr>
    </w:p>
    <w:p>
      <w:pPr>
        <w:spacing w:line="360" w:lineRule="auto"/>
        <w:jc w:val="center"/>
        <w:rPr>
          <w:rFonts w:cs="仿宋" w:asciiTheme="minorEastAsia" w:hAnsiTheme="minorEastAsia"/>
          <w:b/>
          <w:bCs/>
          <w:sz w:val="72"/>
          <w:szCs w:val="72"/>
        </w:rPr>
      </w:pPr>
    </w:p>
    <w:p>
      <w:pPr>
        <w:pStyle w:val="9"/>
      </w:pPr>
    </w:p>
    <w:p/>
    <w:p>
      <w:pPr>
        <w:pStyle w:val="9"/>
      </w:pPr>
    </w:p>
    <w:p/>
    <w:p>
      <w:pPr>
        <w:spacing w:line="360" w:lineRule="auto"/>
        <w:rPr>
          <w:rFonts w:cs="仿宋" w:asciiTheme="minorEastAsia" w:hAnsiTheme="minorEastAsia"/>
          <w:sz w:val="24"/>
        </w:rPr>
      </w:pPr>
    </w:p>
    <w:p>
      <w:pPr>
        <w:pStyle w:val="9"/>
        <w:rPr>
          <w:rFonts w:cs="仿宋" w:asciiTheme="minorEastAsia" w:hAnsiTheme="minorEastAsia"/>
          <w:sz w:val="24"/>
          <w:szCs w:val="24"/>
        </w:rPr>
      </w:pPr>
    </w:p>
    <w:p>
      <w:pPr>
        <w:pStyle w:val="9"/>
        <w:jc w:val="center"/>
        <w:rPr>
          <w:rFonts w:cs="仿宋" w:asciiTheme="minorEastAsia" w:hAnsiTheme="minorEastAsia"/>
          <w:sz w:val="24"/>
          <w:szCs w:val="24"/>
        </w:rPr>
      </w:pPr>
    </w:p>
    <w:p>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cols w:space="425" w:num="1"/>
          <w:docGrid w:type="lines" w:linePitch="312" w:charSpace="0"/>
        </w:sectPr>
      </w:pPr>
      <w:r>
        <w:rPr>
          <w:rFonts w:cs="仿宋" w:asciiTheme="minorEastAsia" w:hAnsiTheme="minorEastAsia"/>
          <w:sz w:val="32"/>
          <w:szCs w:val="32"/>
          <w:highlight w:val="none"/>
        </w:rPr>
        <w:t>202</w:t>
      </w:r>
      <w:r>
        <w:rPr>
          <w:rFonts w:hint="eastAsia" w:cs="仿宋" w:asciiTheme="minorEastAsia" w:hAnsiTheme="minorEastAsia"/>
          <w:sz w:val="32"/>
          <w:szCs w:val="32"/>
          <w:highlight w:val="none"/>
          <w:lang w:val="en-US" w:eastAsia="zh-CN"/>
        </w:rPr>
        <w:t>4</w:t>
      </w:r>
      <w:r>
        <w:rPr>
          <w:rFonts w:hint="eastAsia" w:cs="仿宋" w:asciiTheme="minorEastAsia" w:hAnsiTheme="minorEastAsia"/>
          <w:sz w:val="32"/>
          <w:szCs w:val="32"/>
          <w:highlight w:val="none"/>
        </w:rPr>
        <w:t>年</w:t>
      </w:r>
      <w:r>
        <w:rPr>
          <w:rFonts w:hint="eastAsia" w:cs="仿宋" w:asciiTheme="minorEastAsia" w:hAnsiTheme="minorEastAsia"/>
          <w:sz w:val="32"/>
          <w:szCs w:val="32"/>
          <w:highlight w:val="none"/>
          <w:lang w:val="en-US" w:eastAsia="zh-CN"/>
        </w:rPr>
        <w:t>2</w:t>
      </w:r>
      <w:r>
        <w:rPr>
          <w:rFonts w:hint="eastAsia" w:cs="仿宋" w:asciiTheme="minorEastAsia" w:hAnsiTheme="minorEastAsia"/>
          <w:sz w:val="32"/>
          <w:szCs w:val="32"/>
          <w:highlight w:val="none"/>
        </w:rPr>
        <w:t>月</w:t>
      </w:r>
    </w:p>
    <w:p>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cols w:space="425" w:num="1"/>
          <w:docGrid w:type="lines" w:linePitch="312" w:charSpace="0"/>
        </w:sectPr>
      </w:pPr>
      <w:r>
        <w:rPr>
          <w:rFonts w:hint="eastAsia" w:cs="仿宋" w:asciiTheme="minorEastAsia" w:hAnsiTheme="minorEastAsia"/>
          <w:sz w:val="32"/>
          <w:szCs w:val="32"/>
        </w:rPr>
        <w:t>第六部分      应提交的有关格式范例</w:t>
      </w:r>
    </w:p>
    <w:p>
      <w:pPr>
        <w:spacing w:line="360" w:lineRule="auto"/>
        <w:ind w:firstLine="723" w:firstLineChars="200"/>
        <w:jc w:val="center"/>
        <w:rPr>
          <w:rFonts w:cs="仿宋" w:asciiTheme="minorEastAsia" w:hAnsiTheme="minorEastAsia"/>
          <w:b/>
          <w:sz w:val="36"/>
          <w:szCs w:val="36"/>
        </w:rPr>
      </w:pPr>
      <w:r>
        <w:rPr>
          <w:rFonts w:hint="eastAsia" w:cs="仿宋" w:asciiTheme="minorEastAsia" w:hAnsiTheme="minorEastAsia"/>
          <w:b/>
          <w:sz w:val="36"/>
          <w:szCs w:val="36"/>
        </w:rPr>
        <w:t>第一部分 采购公告</w:t>
      </w:r>
    </w:p>
    <w:p>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35393621"/>
      <w:bookmarkStart w:id="2" w:name="_Toc28359002"/>
      <w:bookmarkStart w:id="3" w:name="_Toc35393790"/>
      <w:bookmarkStart w:id="4" w:name="_Toc28359079"/>
      <w:bookmarkStart w:id="5" w:name="_Hlk24379207"/>
      <w:r>
        <w:rPr>
          <w:rFonts w:hint="eastAsia" w:cs="仿宋" w:asciiTheme="minorEastAsia" w:hAnsiTheme="minorEastAsia"/>
          <w:b/>
          <w:bCs/>
          <w:sz w:val="24"/>
        </w:rPr>
        <w:t>项目概况</w:t>
      </w:r>
      <w:r>
        <w:rPr>
          <w:rFonts w:cs="仿宋" w:asciiTheme="minorEastAsia" w:hAnsiTheme="minorEastAsia"/>
          <w:b/>
          <w:bCs/>
          <w:sz w:val="24"/>
        </w:rPr>
        <w:t>:</w:t>
      </w:r>
    </w:p>
    <w:p>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2024年临江公司废油桶委外处置服务项目</w:t>
      </w:r>
      <w:r>
        <w:rPr>
          <w:rFonts w:hint="eastAsia" w:cs="仿宋" w:asciiTheme="minorEastAsia" w:hAnsiTheme="minorEastAsia"/>
          <w:sz w:val="24"/>
          <w:u w:val="single"/>
        </w:rPr>
        <w:t>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本询价公告通过中国招标投标公共服务平台（http://www.cebpubservice.com/）、浙江政府采购网（http://zfcg.czt.zj.gov.cn/）、杭州市环境集团有限公司、杭州临江环境能源有限公司官网发布。欢迎对本项目有兴趣且符合资质条件的潜在供应商的参加本次采购项目。</w:t>
      </w:r>
    </w:p>
    <w:p>
      <w:pPr>
        <w:pStyle w:val="4"/>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pPr>
        <w:spacing w:line="360" w:lineRule="auto"/>
        <w:ind w:firstLine="482" w:firstLineChars="200"/>
        <w:rPr>
          <w:rFonts w:hint="eastAsia" w:cs="仿宋" w:asciiTheme="minorEastAsia" w:hAnsiTheme="minorEastAsia" w:eastAsiaTheme="minorEastAsia"/>
          <w:sz w:val="24"/>
          <w:highlight w:val="none"/>
          <w:u w:val="single"/>
          <w:lang w:val="en-US" w:eastAsia="zh-CN"/>
        </w:rPr>
      </w:pPr>
      <w:r>
        <w:rPr>
          <w:rFonts w:hint="eastAsia" w:cs="仿宋" w:asciiTheme="minorEastAsia" w:hAnsiTheme="minorEastAsia"/>
          <w:b/>
          <w:bCs/>
          <w:sz w:val="24"/>
          <w:highlight w:val="none"/>
        </w:rPr>
        <w:t>1.项目编号：</w:t>
      </w:r>
      <w:r>
        <w:rPr>
          <w:rFonts w:hint="eastAsia" w:cs="仿宋" w:asciiTheme="minorEastAsia" w:hAnsiTheme="minorEastAsia"/>
          <w:sz w:val="24"/>
          <w:highlight w:val="none"/>
          <w:u w:val="single"/>
          <w:lang w:eastAsia="zh-CN"/>
        </w:rPr>
        <w:t>202402022</w:t>
      </w:r>
    </w:p>
    <w:p>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hint="eastAsia" w:cs="仿宋" w:asciiTheme="minorEastAsia" w:hAnsiTheme="minorEastAsia"/>
          <w:sz w:val="24"/>
          <w:u w:val="single"/>
          <w:lang w:eastAsia="zh-CN"/>
        </w:rPr>
        <w:t>2024年临江公司废油桶委外处置服务项目</w:t>
      </w:r>
      <w:r>
        <w:rPr>
          <w:rFonts w:cs="仿宋" w:asciiTheme="minorEastAsia" w:hAnsiTheme="minorEastAsia"/>
          <w:sz w:val="24"/>
          <w:u w:val="single"/>
        </w:rPr>
        <w:t xml:space="preserve"> </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pPr>
        <w:spacing w:line="360" w:lineRule="auto"/>
        <w:ind w:firstLine="482" w:firstLineChars="200"/>
        <w:rPr>
          <w:rFonts w:cs="仿宋" w:asciiTheme="minorEastAsia" w:hAnsiTheme="minorEastAsia"/>
          <w:sz w:val="24"/>
          <w:highlight w:val="none"/>
        </w:rPr>
      </w:pPr>
      <w:r>
        <w:rPr>
          <w:rFonts w:hint="eastAsia" w:cs="仿宋" w:asciiTheme="minorEastAsia" w:hAnsiTheme="minorEastAsia"/>
          <w:b/>
          <w:bCs/>
          <w:sz w:val="24"/>
          <w:highlight w:val="none"/>
        </w:rPr>
        <w:t>4.最高限价：</w:t>
      </w:r>
      <w:r>
        <w:rPr>
          <w:rFonts w:hint="eastAsia" w:cs="仿宋" w:asciiTheme="minorEastAsia" w:hAnsiTheme="minorEastAsia"/>
          <w:sz w:val="24"/>
          <w:highlight w:val="none"/>
          <w:u w:val="single"/>
          <w:lang w:val="en-US" w:eastAsia="zh-CN"/>
        </w:rPr>
        <w:t>8.8050</w:t>
      </w:r>
      <w:r>
        <w:rPr>
          <w:rFonts w:hint="eastAsia" w:cs="仿宋" w:asciiTheme="minorEastAsia" w:hAnsiTheme="minorEastAsia"/>
          <w:sz w:val="24"/>
          <w:highlight w:val="none"/>
          <w:u w:val="single"/>
        </w:rPr>
        <w:t>万元</w:t>
      </w:r>
    </w:p>
    <w:p>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pPr>
        <w:spacing w:line="360" w:lineRule="auto"/>
        <w:ind w:firstLine="480" w:firstLineChars="200"/>
        <w:rPr>
          <w:rFonts w:hAnsi="宋体"/>
          <w:sz w:val="24"/>
        </w:rPr>
      </w:pPr>
      <w:r>
        <w:rPr>
          <w:rFonts w:hint="eastAsia" w:hAnsi="宋体" w:cs="宋体"/>
          <w:bCs/>
          <w:sz w:val="24"/>
        </w:rPr>
        <w:t>杭州临江环境能源有</w:t>
      </w:r>
      <w:r>
        <w:rPr>
          <w:rFonts w:hint="eastAsia" w:hAnsi="宋体" w:cs="宋体"/>
          <w:bCs/>
          <w:sz w:val="24"/>
          <w:lang w:val="en-US" w:eastAsia="zh-CN"/>
        </w:rPr>
        <w:t>限公司三固事业部因日常运营需要，需委托有资质的单位提供废油桶委外处置服务</w:t>
      </w:r>
      <w:r>
        <w:rPr>
          <w:rFonts w:hint="eastAsia" w:hAnsi="宋体" w:cs="宋体"/>
          <w:bCs/>
          <w:sz w:val="24"/>
        </w:rPr>
        <w:t>。</w:t>
      </w:r>
      <w:r>
        <w:rPr>
          <w:rFonts w:hint="eastAsia" w:cs="仿宋" w:asciiTheme="minorEastAsia" w:hAnsiTheme="minorEastAsia"/>
          <w:sz w:val="24"/>
        </w:rPr>
        <w:t>具体要求以询价通知书第三部分采购需求为准。</w:t>
      </w:r>
    </w:p>
    <w:p>
      <w:pPr>
        <w:spacing w:line="360" w:lineRule="auto"/>
        <w:ind w:firstLine="480" w:firstLineChars="200"/>
        <w:rPr>
          <w:rFonts w:cs="仿宋" w:asciiTheme="minorEastAsia" w:hAnsiTheme="minorEastAsia"/>
          <w:sz w:val="24"/>
          <w:highlight w:val="none"/>
          <w:u w:val="single"/>
        </w:rPr>
      </w:pPr>
      <w:r>
        <w:rPr>
          <w:rFonts w:hint="eastAsia" w:cs="仿宋" w:asciiTheme="minorEastAsia" w:hAnsiTheme="minorEastAsia"/>
          <w:sz w:val="24"/>
          <w:highlight w:val="none"/>
        </w:rPr>
        <w:t>6.</w:t>
      </w:r>
      <w:r>
        <w:rPr>
          <w:rFonts w:hint="eastAsia" w:cs="仿宋" w:asciiTheme="minorEastAsia" w:hAnsiTheme="minorEastAsia"/>
          <w:b/>
          <w:bCs/>
          <w:sz w:val="24"/>
          <w:highlight w:val="none"/>
        </w:rPr>
        <w:t>合同履行期限：</w:t>
      </w:r>
      <w:r>
        <w:rPr>
          <w:rFonts w:hint="eastAsia" w:cs="仿宋" w:asciiTheme="minorEastAsia" w:hAnsiTheme="minorEastAsia"/>
          <w:sz w:val="24"/>
          <w:highlight w:val="none"/>
          <w:u w:val="single"/>
        </w:rPr>
        <w:t xml:space="preserve"> </w:t>
      </w:r>
      <w:r>
        <w:rPr>
          <w:rFonts w:hint="eastAsia" w:cs="仿宋" w:asciiTheme="minorEastAsia" w:hAnsiTheme="minorEastAsia"/>
          <w:sz w:val="24"/>
          <w:highlight w:val="none"/>
          <w:u w:val="single"/>
          <w:lang w:val="en-US" w:eastAsia="zh-CN"/>
        </w:rPr>
        <w:t>1年</w:t>
      </w:r>
      <w:r>
        <w:rPr>
          <w:rFonts w:hint="eastAsia" w:cs="仿宋" w:asciiTheme="minorEastAsia" w:hAnsiTheme="minorEastAsia"/>
          <w:sz w:val="24"/>
          <w:highlight w:val="none"/>
          <w:u w:val="single"/>
        </w:rPr>
        <w:t>。</w:t>
      </w:r>
    </w:p>
    <w:p>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441836950"/>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591624199"/>
        </w:sdtPr>
        <w:sdtEndPr>
          <w:rPr>
            <w:rFonts w:hAnsi="宋体" w:cs="宋体"/>
            <w:kern w:val="0"/>
            <w:sz w:val="24"/>
          </w:rPr>
        </w:sdtEndPr>
        <w:sdtContent>
          <w:sdt>
            <w:sdtPr>
              <w:rPr>
                <w:rFonts w:hAnsi="宋体" w:cs="宋体"/>
                <w:kern w:val="0"/>
                <w:sz w:val="24"/>
              </w:rPr>
              <w:id w:val="-1641886432"/>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pPr>
        <w:spacing w:line="360" w:lineRule="auto"/>
        <w:ind w:firstLine="482" w:firstLineChars="200"/>
        <w:rPr>
          <w:rFonts w:cs="仿宋" w:asciiTheme="minorEastAsia" w:hAnsiTheme="minorEastAsia"/>
          <w:b/>
          <w:bCs/>
          <w:sz w:val="24"/>
        </w:rPr>
      </w:pPr>
      <w:bookmarkStart w:id="6" w:name="_Toc28359080"/>
      <w:bookmarkStart w:id="7" w:name="_Toc28359003"/>
      <w:bookmarkStart w:id="8" w:name="_Toc35393622"/>
      <w:bookmarkStart w:id="9" w:name="_Toc35393791"/>
      <w:r>
        <w:rPr>
          <w:rFonts w:hint="eastAsia" w:cs="仿宋" w:asciiTheme="minorEastAsia" w:hAnsiTheme="minorEastAsia"/>
          <w:b/>
          <w:bCs/>
          <w:sz w:val="24"/>
        </w:rPr>
        <w:t>二、供应商的资格要求：</w:t>
      </w:r>
      <w:bookmarkEnd w:id="6"/>
      <w:bookmarkEnd w:id="7"/>
      <w:bookmarkEnd w:id="8"/>
      <w:bookmarkEnd w:id="9"/>
      <w:bookmarkStart w:id="10" w:name="_Toc35393623"/>
      <w:bookmarkStart w:id="11" w:name="_Toc35393792"/>
      <w:bookmarkStart w:id="12" w:name="_Toc28359004"/>
      <w:bookmarkStart w:id="13" w:name="_Toc28359081"/>
    </w:p>
    <w:p>
      <w:pPr>
        <w:spacing w:line="360" w:lineRule="auto"/>
        <w:ind w:firstLine="480" w:firstLineChars="200"/>
        <w:rPr>
          <w:rFonts w:hint="eastAsia" w:cs="仿宋" w:asciiTheme="minorEastAsia" w:hAnsiTheme="minorEastAsia" w:eastAsiaTheme="minorEastAsia"/>
          <w:bCs/>
          <w:sz w:val="24"/>
          <w:lang w:eastAsia="zh-CN"/>
        </w:rPr>
      </w:pPr>
      <w:r>
        <w:rPr>
          <w:rFonts w:hint="eastAsia" w:cs="仿宋" w:asciiTheme="minorEastAsia" w:hAnsiTheme="minorEastAsia"/>
          <w:bCs/>
          <w:sz w:val="24"/>
        </w:rPr>
        <w:t>1.供应商必须是在中华人民共和国境内注册，具有独立法人资格和独立承担民事责任的能力，有能力提供货</w:t>
      </w:r>
      <w:r>
        <w:rPr>
          <w:rFonts w:hint="eastAsia" w:cs="仿宋" w:asciiTheme="minorEastAsia" w:hAnsiTheme="minorEastAsia"/>
          <w:bCs/>
          <w:sz w:val="24"/>
          <w:highlight w:val="none"/>
        </w:rPr>
        <w:t>物</w:t>
      </w:r>
      <w:r>
        <w:rPr>
          <w:rFonts w:hint="eastAsia" w:cs="仿宋" w:asciiTheme="minorEastAsia" w:hAnsiTheme="minorEastAsia"/>
          <w:bCs/>
          <w:sz w:val="24"/>
          <w:highlight w:val="none"/>
          <w:lang w:eastAsia="zh-CN"/>
        </w:rPr>
        <w:t>。</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2.供应商在“信用中国”（www.creditchina.gov.cn）、中国政府采购网（www.ccgp.gov.cn）等其它官方网站没有被列入失信被执行人、重大税收违法案件当事人名单、政府采购严重违法失信行为记录名单、有责合同纠纷、重点关注名单、黑名单等不良记录。</w:t>
      </w:r>
    </w:p>
    <w:p>
      <w:pPr>
        <w:spacing w:line="360" w:lineRule="auto"/>
        <w:ind w:firstLine="480" w:firstLineChars="200"/>
        <w:rPr>
          <w:rFonts w:hint="eastAsia" w:cs="仿宋" w:asciiTheme="minorEastAsia" w:hAnsiTheme="minorEastAsia"/>
          <w:bCs/>
          <w:sz w:val="24"/>
        </w:rPr>
      </w:pPr>
      <w:r>
        <w:rPr>
          <w:rFonts w:hint="eastAsia" w:cs="仿宋" w:asciiTheme="minorEastAsia" w:hAnsiTheme="minorEastAsia"/>
          <w:bCs/>
          <w:sz w:val="24"/>
          <w:lang w:val="en-US" w:eastAsia="zh-CN"/>
        </w:rPr>
        <w:t>3.供应商应持有生态环境部门颁发的《危险废物经营许可证》，核准经营范围HW49其他废物废包装（铁桶），废物代码900-041-49，处置方式含收集、贮存、利用;</w:t>
      </w:r>
    </w:p>
    <w:p>
      <w:pPr>
        <w:spacing w:line="360" w:lineRule="auto"/>
        <w:ind w:firstLine="480" w:firstLineChars="200"/>
        <w:rPr>
          <w:rFonts w:cs="仿宋" w:asciiTheme="minorEastAsia" w:hAnsiTheme="minorEastAsia"/>
          <w:bCs/>
          <w:sz w:val="24"/>
          <w:highlight w:val="none"/>
          <w:u w:val="single"/>
        </w:rPr>
      </w:pPr>
      <w:r>
        <w:rPr>
          <w:rFonts w:hint="eastAsia" w:cs="仿宋" w:asciiTheme="minorEastAsia" w:hAnsiTheme="minorEastAsia"/>
          <w:bCs/>
          <w:sz w:val="24"/>
          <w:highlight w:val="none"/>
          <w:lang w:val="en-US" w:eastAsia="zh-CN"/>
        </w:rPr>
        <w:t>4</w:t>
      </w:r>
      <w:r>
        <w:rPr>
          <w:rFonts w:hint="eastAsia" w:cs="仿宋" w:asciiTheme="minorEastAsia" w:hAnsiTheme="minorEastAsia"/>
          <w:bCs/>
          <w:sz w:val="24"/>
          <w:highlight w:val="none"/>
        </w:rPr>
        <w:t>.业绩要求：</w:t>
      </w:r>
      <w:r>
        <w:rPr>
          <w:rFonts w:hint="eastAsia" w:cs="仿宋" w:asciiTheme="minorEastAsia" w:hAnsiTheme="minorEastAsia"/>
          <w:bCs/>
          <w:sz w:val="24"/>
          <w:highlight w:val="none"/>
          <w:u w:val="single"/>
        </w:rPr>
        <w:t xml:space="preserve"> </w:t>
      </w:r>
      <w:r>
        <w:rPr>
          <w:rFonts w:hint="eastAsia" w:cs="仿宋" w:asciiTheme="minorEastAsia" w:hAnsiTheme="minorEastAsia"/>
          <w:bCs/>
          <w:sz w:val="24"/>
          <w:highlight w:val="none"/>
          <w:u w:val="single"/>
          <w:lang w:val="en-US" w:eastAsia="zh-CN"/>
        </w:rPr>
        <w:t>/</w:t>
      </w:r>
      <w:r>
        <w:rPr>
          <w:rFonts w:hint="eastAsia" w:cs="仿宋" w:asciiTheme="minorEastAsia" w:hAnsiTheme="minorEastAsia"/>
          <w:bCs/>
          <w:sz w:val="24"/>
          <w:highlight w:val="none"/>
          <w:u w:val="single"/>
        </w:rPr>
        <w:t>。</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lang w:val="en-US" w:eastAsia="zh-CN"/>
        </w:rPr>
        <w:t>5</w:t>
      </w:r>
      <w:r>
        <w:rPr>
          <w:rFonts w:hint="eastAsia" w:cs="仿宋" w:asciiTheme="minorEastAsia" w:hAnsiTheme="minorEastAsia"/>
          <w:bCs/>
          <w:sz w:val="24"/>
        </w:rPr>
        <w:t>.供应商不得为杭州市环境集团有限公司或杭州临江环境能源有限公司不合格供应商或者在黑名单之内。</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lang w:val="en-US" w:eastAsia="zh-CN"/>
        </w:rPr>
        <w:t>6</w:t>
      </w:r>
      <w:r>
        <w:rPr>
          <w:rFonts w:hint="eastAsia" w:cs="仿宋" w:asciiTheme="minorEastAsia" w:hAnsiTheme="minorEastAsia"/>
          <w:bCs/>
          <w:sz w:val="24"/>
        </w:rPr>
        <w:t xml:space="preserve">.供应商负责人为同一人或者存在控股、管理关系的不同单位，不得同时参加本项目。  </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lang w:val="en-US" w:eastAsia="zh-CN"/>
        </w:rPr>
        <w:t>7</w:t>
      </w:r>
      <w:r>
        <w:rPr>
          <w:rFonts w:hint="eastAsia" w:cs="仿宋" w:asciiTheme="minorEastAsia" w:hAnsiTheme="minorEastAsia"/>
          <w:bCs/>
          <w:sz w:val="24"/>
        </w:rPr>
        <w:t>.供应商须提供其股东信息及出资比例信息。</w:t>
      </w:r>
    </w:p>
    <w:p>
      <w:pPr>
        <w:spacing w:line="360" w:lineRule="auto"/>
        <w:ind w:firstLine="480" w:firstLineChars="200"/>
        <w:rPr>
          <w:rFonts w:cs="仿宋" w:asciiTheme="minorEastAsia" w:hAnsiTheme="minorEastAsia"/>
          <w:bCs/>
          <w:sz w:val="24"/>
          <w:u w:val="single"/>
        </w:rPr>
      </w:pPr>
      <w:r>
        <w:rPr>
          <w:rFonts w:hint="eastAsia" w:cs="仿宋" w:asciiTheme="minorEastAsia" w:hAnsiTheme="minorEastAsia"/>
          <w:bCs/>
          <w:sz w:val="24"/>
          <w:lang w:val="en-US" w:eastAsia="zh-CN"/>
        </w:rPr>
        <w:t>8</w:t>
      </w:r>
      <w:r>
        <w:rPr>
          <w:rFonts w:cs="仿宋" w:asciiTheme="minorEastAsia" w:hAnsiTheme="minorEastAsia"/>
          <w:bCs/>
          <w:sz w:val="24"/>
        </w:rPr>
        <w:t>.</w:t>
      </w:r>
      <w:r>
        <w:rPr>
          <w:rFonts w:hint="eastAsia" w:cs="仿宋" w:asciiTheme="minorEastAsia" w:hAnsiTheme="minorEastAsia"/>
          <w:bCs/>
          <w:sz w:val="24"/>
        </w:rPr>
        <w:t>本项目特定资格要求：</w:t>
      </w:r>
      <w:r>
        <w:rPr>
          <w:rFonts w:hint="eastAsia" w:cs="仿宋" w:asciiTheme="minorEastAsia" w:hAnsiTheme="minorEastAsia"/>
          <w:bCs/>
          <w:sz w:val="24"/>
          <w:u w:val="single"/>
        </w:rPr>
        <w:t xml:space="preserve">  无</w:t>
      </w:r>
      <w:r>
        <w:rPr>
          <w:rFonts w:hint="eastAsia" w:cs="仿宋" w:asciiTheme="minorEastAsia" w:hAnsiTheme="minorEastAsia"/>
          <w:bCs/>
          <w:i/>
          <w:iCs/>
          <w:sz w:val="24"/>
          <w:u w:val="single"/>
        </w:rPr>
        <w:t xml:space="preserve">  。</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pPr>
        <w:pStyle w:val="4"/>
        <w:spacing w:before="0" w:after="0" w:line="360" w:lineRule="auto"/>
        <w:ind w:firstLine="480" w:firstLineChars="200"/>
        <w:rPr>
          <w:rFonts w:cs="仿宋" w:asciiTheme="minorEastAsia" w:hAnsiTheme="minorEastAsia" w:eastAsiaTheme="minorEastAsia"/>
          <w:b w:val="0"/>
          <w:sz w:val="24"/>
          <w:szCs w:val="24"/>
        </w:rPr>
      </w:pPr>
      <w:bookmarkStart w:id="14" w:name="_Toc35393624"/>
      <w:bookmarkStart w:id="15" w:name="_Toc28359082"/>
      <w:bookmarkStart w:id="16" w:name="_Toc28359005"/>
      <w:bookmarkStart w:id="17" w:name="_Toc35393793"/>
      <w:r>
        <w:rPr>
          <w:rFonts w:hint="eastAsia" w:cs="仿宋" w:asciiTheme="minorEastAsia" w:hAnsiTheme="minorEastAsia" w:eastAsiaTheme="minorEastAsia"/>
          <w:b w:val="0"/>
          <w:sz w:val="24"/>
          <w:szCs w:val="24"/>
        </w:rPr>
        <w:t xml:space="preserve">1.时间：报价截止时间前。   </w:t>
      </w:r>
    </w:p>
    <w:p>
      <w:pPr>
        <w:pStyle w:val="4"/>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2.地点（网址）：杭州临江环境能源有限公司网站（https://www.ljhjny.com/notice.html）。</w:t>
      </w:r>
    </w:p>
    <w:p>
      <w:pPr>
        <w:pStyle w:val="4"/>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四、询价保证金</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五、响应文件递交</w:t>
      </w:r>
    </w:p>
    <w:p>
      <w:pPr>
        <w:spacing w:line="360" w:lineRule="auto"/>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1.截止时间：</w:t>
      </w:r>
      <w:r>
        <w:rPr>
          <w:rFonts w:hint="eastAsia" w:cs="仿宋" w:asciiTheme="minorEastAsia" w:hAnsiTheme="minorEastAsia"/>
          <w:sz w:val="24"/>
          <w:highlight w:val="none"/>
          <w:u w:val="single"/>
          <w:lang w:val="en-US" w:eastAsia="zh-CN"/>
        </w:rPr>
        <w:t>2024</w:t>
      </w:r>
      <w:r>
        <w:rPr>
          <w:rFonts w:hint="eastAsia" w:cs="仿宋" w:asciiTheme="minorEastAsia" w:hAnsiTheme="minorEastAsia"/>
          <w:sz w:val="24"/>
          <w:highlight w:val="none"/>
          <w:u w:val="single"/>
        </w:rPr>
        <w:t>年</w:t>
      </w:r>
      <w:r>
        <w:rPr>
          <w:rFonts w:hint="eastAsia" w:cs="仿宋" w:asciiTheme="minorEastAsia" w:hAnsiTheme="minorEastAsia"/>
          <w:sz w:val="24"/>
          <w:highlight w:val="none"/>
          <w:u w:val="single"/>
          <w:lang w:val="en-US" w:eastAsia="zh-CN"/>
        </w:rPr>
        <w:t>2</w:t>
      </w:r>
      <w:r>
        <w:rPr>
          <w:rFonts w:hint="eastAsia" w:cs="仿宋" w:asciiTheme="minorEastAsia" w:hAnsiTheme="minorEastAsia"/>
          <w:bCs/>
          <w:sz w:val="24"/>
          <w:highlight w:val="none"/>
          <w:u w:val="single"/>
        </w:rPr>
        <w:t>月</w:t>
      </w:r>
      <w:r>
        <w:rPr>
          <w:rFonts w:hint="eastAsia" w:cs="仿宋" w:asciiTheme="minorEastAsia" w:hAnsiTheme="minorEastAsia"/>
          <w:bCs/>
          <w:sz w:val="24"/>
          <w:highlight w:val="none"/>
          <w:u w:val="single"/>
          <w:lang w:val="en-US" w:eastAsia="zh-CN"/>
        </w:rPr>
        <w:t>29</w:t>
      </w:r>
      <w:r>
        <w:rPr>
          <w:rFonts w:hint="eastAsia" w:cs="仿宋" w:asciiTheme="minorEastAsia" w:hAnsiTheme="minorEastAsia"/>
          <w:bCs/>
          <w:sz w:val="24"/>
          <w:highlight w:val="none"/>
          <w:u w:val="single"/>
        </w:rPr>
        <w:t>日</w:t>
      </w:r>
      <w:r>
        <w:rPr>
          <w:rFonts w:hint="eastAsia" w:cs="仿宋" w:asciiTheme="minorEastAsia" w:hAnsiTheme="minorEastAsia"/>
          <w:bCs/>
          <w:sz w:val="24"/>
          <w:highlight w:val="none"/>
          <w:u w:val="single"/>
          <w:lang w:val="en-US" w:eastAsia="zh-CN"/>
        </w:rPr>
        <w:t>10</w:t>
      </w:r>
      <w:r>
        <w:rPr>
          <w:rFonts w:hint="eastAsia" w:cs="仿宋" w:asciiTheme="minorEastAsia" w:hAnsiTheme="minorEastAsia"/>
          <w:bCs/>
          <w:sz w:val="24"/>
          <w:highlight w:val="none"/>
          <w:u w:val="single"/>
        </w:rPr>
        <w:t>点</w:t>
      </w:r>
      <w:r>
        <w:rPr>
          <w:rFonts w:hint="eastAsia" w:cs="仿宋" w:asciiTheme="minorEastAsia" w:hAnsiTheme="minorEastAsia"/>
          <w:bCs/>
          <w:sz w:val="24"/>
          <w:highlight w:val="none"/>
          <w:u w:val="single"/>
          <w:lang w:val="en-US" w:eastAsia="zh-CN"/>
        </w:rPr>
        <w:t>30</w:t>
      </w:r>
      <w:r>
        <w:rPr>
          <w:rFonts w:hint="eastAsia" w:cs="仿宋" w:asciiTheme="minorEastAsia" w:hAnsiTheme="minorEastAsia"/>
          <w:bCs/>
          <w:sz w:val="24"/>
          <w:highlight w:val="none"/>
          <w:u w:val="single"/>
        </w:rPr>
        <w:t>分</w:t>
      </w:r>
      <w:r>
        <w:rPr>
          <w:rFonts w:hint="eastAsia" w:cs="仿宋" w:asciiTheme="minorEastAsia" w:hAnsiTheme="minorEastAsia"/>
          <w:bCs/>
          <w:sz w:val="24"/>
          <w:highlight w:val="none"/>
          <w:u w:val="single"/>
          <w:lang w:val="en-US" w:eastAsia="zh-CN"/>
        </w:rPr>
        <w:t>00</w:t>
      </w:r>
      <w:r>
        <w:rPr>
          <w:rFonts w:hint="eastAsia" w:cs="仿宋" w:asciiTheme="minorEastAsia" w:hAnsiTheme="minorEastAsia"/>
          <w:bCs/>
          <w:sz w:val="24"/>
          <w:highlight w:val="none"/>
          <w:u w:val="single"/>
        </w:rPr>
        <w:t>秒</w:t>
      </w:r>
      <w:r>
        <w:rPr>
          <w:rFonts w:hint="eastAsia" w:cs="仿宋" w:asciiTheme="minorEastAsia" w:hAnsiTheme="minorEastAsia"/>
          <w:sz w:val="24"/>
          <w:highlight w:val="none"/>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2.递交地点：杭州市钱塘区临江街道红十五线与观十五线交叉口（杭州临江环境能源有限公司科研楼二楼开评标室）。</w:t>
      </w:r>
    </w:p>
    <w:p>
      <w:pPr>
        <w:spacing w:line="360" w:lineRule="auto"/>
        <w:ind w:firstLine="480" w:firstLineChars="200"/>
      </w:pPr>
      <w:r>
        <w:rPr>
          <w:rFonts w:hint="eastAsia" w:cs="仿宋" w:asciiTheme="minorEastAsia" w:hAnsiTheme="minorEastAsia"/>
          <w:sz w:val="24"/>
        </w:rPr>
        <w:t>3、递交方式：响应文件可采用现场递交或者邮寄方式其中任何一种方式。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（1）邮寄地址：杭州市钱塘区临江街道红十五线与观十五线交叉口杭州临江环境能源有限公司科研楼投资发展部   庄工 15268125337。</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（2）响应文件邮寄封装要求：供应商除按照文件要求封装响应文件外，还需在快递外包装上</w:t>
      </w:r>
      <w:r>
        <w:rPr>
          <w:rFonts w:hint="eastAsia" w:cs="仿宋" w:asciiTheme="minorEastAsia" w:hAnsiTheme="minorEastAsia"/>
          <w:b/>
          <w:bCs/>
          <w:sz w:val="28"/>
          <w:szCs w:val="28"/>
        </w:rPr>
        <w:t>醒目注明项目名称、询价编号，且注明联系人、联系人电话</w:t>
      </w:r>
      <w:r>
        <w:rPr>
          <w:rFonts w:hint="eastAsia" w:cs="仿宋" w:asciiTheme="minorEastAsia" w:hAnsiTheme="minorEastAsia"/>
          <w:sz w:val="24"/>
        </w:rPr>
        <w:t>；快递包装务必牢固可靠，因包装原因出现影响响应文件完整性、密封性等后果由供应商自行负责。</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（4）响应文件邮递递交截止时间：以邮寄签收时间为准，因邮寄原因导致响应文件不能如期送达等风险由供应商自行承担。 </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六、响应文件开启</w:t>
      </w:r>
    </w:p>
    <w:p>
      <w:pPr>
        <w:spacing w:line="360" w:lineRule="auto"/>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1.开启时间：</w:t>
      </w:r>
      <w:r>
        <w:rPr>
          <w:rFonts w:hint="eastAsia" w:cs="仿宋" w:asciiTheme="minorEastAsia" w:hAnsiTheme="minorEastAsia"/>
          <w:sz w:val="24"/>
          <w:highlight w:val="none"/>
          <w:u w:val="single"/>
        </w:rPr>
        <w:t>20</w:t>
      </w:r>
      <w:r>
        <w:rPr>
          <w:rFonts w:hint="eastAsia" w:cs="仿宋" w:asciiTheme="minorEastAsia" w:hAnsiTheme="minorEastAsia"/>
          <w:sz w:val="24"/>
          <w:highlight w:val="none"/>
          <w:u w:val="single"/>
          <w:lang w:val="en-US" w:eastAsia="zh-CN"/>
        </w:rPr>
        <w:t>24</w:t>
      </w:r>
      <w:r>
        <w:rPr>
          <w:rFonts w:hint="eastAsia" w:cs="仿宋" w:asciiTheme="minorEastAsia" w:hAnsiTheme="minorEastAsia"/>
          <w:bCs/>
          <w:sz w:val="24"/>
          <w:highlight w:val="none"/>
          <w:u w:val="single"/>
        </w:rPr>
        <w:t>年</w:t>
      </w:r>
      <w:r>
        <w:rPr>
          <w:rFonts w:hint="eastAsia" w:cs="仿宋" w:asciiTheme="minorEastAsia" w:hAnsiTheme="minorEastAsia"/>
          <w:bCs/>
          <w:sz w:val="24"/>
          <w:highlight w:val="none"/>
          <w:u w:val="single"/>
          <w:lang w:val="en-US" w:eastAsia="zh-CN"/>
        </w:rPr>
        <w:t>2</w:t>
      </w:r>
      <w:r>
        <w:rPr>
          <w:rFonts w:hint="eastAsia" w:cs="仿宋" w:asciiTheme="minorEastAsia" w:hAnsiTheme="minorEastAsia"/>
          <w:bCs/>
          <w:sz w:val="24"/>
          <w:highlight w:val="none"/>
          <w:u w:val="single"/>
        </w:rPr>
        <w:t>月</w:t>
      </w:r>
      <w:r>
        <w:rPr>
          <w:rFonts w:hint="eastAsia" w:cs="仿宋" w:asciiTheme="minorEastAsia" w:hAnsiTheme="minorEastAsia"/>
          <w:bCs/>
          <w:sz w:val="24"/>
          <w:highlight w:val="none"/>
          <w:u w:val="single"/>
          <w:lang w:val="en-US" w:eastAsia="zh-CN"/>
        </w:rPr>
        <w:t>29</w:t>
      </w:r>
      <w:r>
        <w:rPr>
          <w:rFonts w:hint="eastAsia" w:cs="仿宋" w:asciiTheme="minorEastAsia" w:hAnsiTheme="minorEastAsia"/>
          <w:bCs/>
          <w:sz w:val="24"/>
          <w:highlight w:val="none"/>
          <w:u w:val="single"/>
        </w:rPr>
        <w:t>日</w:t>
      </w:r>
      <w:r>
        <w:rPr>
          <w:rFonts w:hint="eastAsia" w:cs="仿宋" w:asciiTheme="minorEastAsia" w:hAnsiTheme="minorEastAsia"/>
          <w:bCs/>
          <w:sz w:val="24"/>
          <w:highlight w:val="none"/>
          <w:u w:val="single"/>
          <w:lang w:val="en-US" w:eastAsia="zh-CN"/>
        </w:rPr>
        <w:t>10</w:t>
      </w:r>
      <w:r>
        <w:rPr>
          <w:rFonts w:hint="eastAsia" w:cs="仿宋" w:asciiTheme="minorEastAsia" w:hAnsiTheme="minorEastAsia"/>
          <w:bCs/>
          <w:sz w:val="24"/>
          <w:highlight w:val="none"/>
          <w:u w:val="single"/>
        </w:rPr>
        <w:t>点</w:t>
      </w:r>
      <w:r>
        <w:rPr>
          <w:rFonts w:hint="eastAsia" w:cs="仿宋" w:asciiTheme="minorEastAsia" w:hAnsiTheme="minorEastAsia"/>
          <w:bCs/>
          <w:sz w:val="24"/>
          <w:highlight w:val="none"/>
          <w:u w:val="single"/>
          <w:lang w:val="en-US" w:eastAsia="zh-CN"/>
        </w:rPr>
        <w:t>30</w:t>
      </w:r>
      <w:r>
        <w:rPr>
          <w:rFonts w:hint="eastAsia" w:cs="仿宋" w:asciiTheme="minorEastAsia" w:hAnsiTheme="minorEastAsia"/>
          <w:bCs/>
          <w:sz w:val="24"/>
          <w:highlight w:val="none"/>
          <w:u w:val="single"/>
        </w:rPr>
        <w:t>分</w:t>
      </w:r>
      <w:r>
        <w:rPr>
          <w:rFonts w:hint="eastAsia" w:cs="仿宋" w:asciiTheme="minorEastAsia" w:hAnsiTheme="minorEastAsia"/>
          <w:bCs/>
          <w:sz w:val="24"/>
          <w:highlight w:val="none"/>
          <w:u w:val="single"/>
          <w:lang w:val="en-US" w:eastAsia="zh-CN"/>
        </w:rPr>
        <w:t>00</w:t>
      </w:r>
      <w:r>
        <w:rPr>
          <w:rFonts w:hint="eastAsia" w:cs="仿宋" w:asciiTheme="minorEastAsia" w:hAnsiTheme="minorEastAsia"/>
          <w:bCs/>
          <w:sz w:val="24"/>
          <w:highlight w:val="none"/>
          <w:u w:val="single"/>
        </w:rPr>
        <w:t>秒</w:t>
      </w:r>
      <w:r>
        <w:rPr>
          <w:rFonts w:hint="eastAsia" w:cs="仿宋" w:asciiTheme="minorEastAsia" w:hAnsiTheme="minorEastAsia"/>
          <w:sz w:val="24"/>
          <w:highlight w:val="none"/>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开标采用线上和线下同时进行的方式，供应商可参与现场开标，或者线上参加“腾讯会议”形式参与线上现场开标。开标期间供应商代表通过“腾讯会议”保持全程在线直至开标结束。腾讯会议号在开标当日</w:t>
      </w:r>
      <w:r>
        <w:rPr>
          <w:rFonts w:hint="eastAsia" w:cs="仿宋" w:asciiTheme="minorEastAsia" w:hAnsiTheme="minorEastAsia"/>
          <w:sz w:val="24"/>
          <w:lang w:val="en-US" w:eastAsia="zh-CN"/>
        </w:rPr>
        <w:t>13</w:t>
      </w:r>
      <w:r>
        <w:rPr>
          <w:rFonts w:hint="eastAsia" w:cs="仿宋" w:asciiTheme="minorEastAsia" w:hAnsiTheme="minorEastAsia"/>
          <w:sz w:val="24"/>
        </w:rPr>
        <w:t>:</w:t>
      </w:r>
      <w:r>
        <w:rPr>
          <w:rFonts w:hint="eastAsia" w:cs="仿宋" w:asciiTheme="minorEastAsia" w:hAnsiTheme="minorEastAsia"/>
          <w:sz w:val="24"/>
          <w:lang w:val="en-US" w:eastAsia="zh-CN"/>
        </w:rPr>
        <w:t>30</w:t>
      </w:r>
      <w:r>
        <w:rPr>
          <w:rFonts w:hint="eastAsia" w:cs="仿宋" w:asciiTheme="minorEastAsia" w:hAnsiTheme="minorEastAsia"/>
          <w:sz w:val="24"/>
        </w:rPr>
        <w:t>之前在杭州临江环境能源有限公司网站公示，请各供应商及时关注进入会场。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（2）密封性检查：由本项目监管人负责查验响应文件密封性情况；供应商代表对响应文件密封情况在线进行确认；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开标标录结果，各供应商在线回复确认标录结果完毕后（供应商因故未能确认标录结果的，默认供应商已确认开标结果），采购人打印开标标录，宣布开标会议结束，并负责保存“腾讯会议”录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（4）见证要求：开标期间供应商因未参与现场开标或者未参加线上直播，视为认可全过程和结果，不得提出异议。</w:t>
      </w:r>
    </w:p>
    <w:p>
      <w:pPr>
        <w:spacing w:line="360" w:lineRule="auto"/>
        <w:ind w:firstLine="480" w:firstLineChars="200"/>
      </w:pPr>
      <w:r>
        <w:rPr>
          <w:rFonts w:hint="eastAsia" w:cs="仿宋" w:asciiTheme="minorEastAsia" w:hAnsiTheme="minorEastAsia"/>
          <w:sz w:val="24"/>
        </w:rPr>
        <w:t>（5）异议处理：供应商对开标过程有异议的，应在开标会议结束前通过“腾讯会议”在线上提出，采购人应现场予以答复，并做好记录。</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single"/>
        </w:rPr>
        <w:t>ljgsbjzy@163.com</w:t>
      </w:r>
      <w:r>
        <w:rPr>
          <w:rFonts w:hint="eastAsia" w:cs="仿宋" w:asciiTheme="minorEastAsia" w:hAnsiTheme="minorEastAsia"/>
          <w:sz w:val="24"/>
        </w:rPr>
        <w:t>提出质疑，同时联系经本项目采购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八、联系方式</w:t>
      </w:r>
    </w:p>
    <w:p>
      <w:pPr>
        <w:spacing w:line="360" w:lineRule="auto"/>
        <w:ind w:firstLine="480" w:firstLineChars="200"/>
        <w:rPr>
          <w:rFonts w:hint="default" w:cs="仿宋" w:asciiTheme="minorEastAsia" w:hAnsiTheme="minorEastAsia" w:eastAsiaTheme="minorEastAsia"/>
          <w:sz w:val="24"/>
          <w:lang w:val="en-US" w:eastAsia="zh-CN"/>
        </w:rPr>
      </w:pPr>
      <w:r>
        <w:rPr>
          <w:rFonts w:hint="eastAsia" w:cs="仿宋" w:asciiTheme="minorEastAsia" w:hAnsiTheme="minorEastAsia"/>
          <w:sz w:val="24"/>
        </w:rPr>
        <w:t>联系人：</w:t>
      </w:r>
      <w:r>
        <w:rPr>
          <w:rFonts w:hint="eastAsia" w:cs="仿宋" w:asciiTheme="minorEastAsia" w:hAnsiTheme="minorEastAsia"/>
          <w:sz w:val="24"/>
          <w:lang w:val="en-US" w:eastAsia="zh-CN"/>
        </w:rPr>
        <w:t>胡少杰</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lang w:val="en-US" w:eastAsia="zh-CN"/>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15700099079</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九、监督部门</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联系人：李文拓       联系电话：15636132687</w:t>
      </w:r>
    </w:p>
    <w:p>
      <w:pPr>
        <w:spacing w:line="360" w:lineRule="auto"/>
        <w:ind w:firstLine="5280" w:firstLineChars="2200"/>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6240" w:firstLineChars="2600"/>
        <w:rPr>
          <w:rFonts w:cs="仿宋" w:asciiTheme="minorEastAsia" w:hAnsiTheme="minorEastAsia"/>
          <w:b/>
          <w:bCs/>
          <w:sz w:val="24"/>
          <w:highlight w:val="none"/>
        </w:rPr>
      </w:pPr>
      <w:r>
        <w:rPr>
          <w:rFonts w:hint="eastAsia" w:cs="仿宋" w:asciiTheme="minorEastAsia" w:hAnsiTheme="minorEastAsia"/>
          <w:sz w:val="24"/>
          <w:highlight w:val="none"/>
        </w:rPr>
        <w:t>202</w:t>
      </w:r>
      <w:r>
        <w:rPr>
          <w:rFonts w:hint="eastAsia" w:cs="仿宋" w:asciiTheme="minorEastAsia" w:hAnsiTheme="minorEastAsia"/>
          <w:sz w:val="24"/>
          <w:highlight w:val="none"/>
          <w:lang w:val="en-US" w:eastAsia="zh-CN"/>
        </w:rPr>
        <w:t>4</w:t>
      </w:r>
      <w:r>
        <w:rPr>
          <w:rFonts w:cs="仿宋" w:asciiTheme="minorEastAsia" w:hAnsiTheme="minorEastAsia"/>
          <w:sz w:val="24"/>
          <w:highlight w:val="none"/>
        </w:rPr>
        <w:t>年</w:t>
      </w:r>
      <w:r>
        <w:rPr>
          <w:rFonts w:hint="eastAsia" w:cs="仿宋" w:asciiTheme="minorEastAsia" w:hAnsiTheme="minorEastAsia"/>
          <w:sz w:val="24"/>
          <w:highlight w:val="none"/>
          <w:lang w:val="en-US" w:eastAsia="zh-CN"/>
        </w:rPr>
        <w:t>2</w:t>
      </w:r>
      <w:r>
        <w:rPr>
          <w:rFonts w:hint="eastAsia" w:cs="仿宋" w:asciiTheme="minorEastAsia" w:hAnsiTheme="minorEastAsia"/>
          <w:sz w:val="24"/>
          <w:highlight w:val="none"/>
        </w:rPr>
        <w:t>月</w:t>
      </w:r>
      <w:r>
        <w:rPr>
          <w:rFonts w:hint="eastAsia" w:cs="仿宋" w:asciiTheme="minorEastAsia" w:hAnsiTheme="minorEastAsia"/>
          <w:sz w:val="24"/>
          <w:highlight w:val="none"/>
          <w:lang w:val="en-US" w:eastAsia="zh-CN"/>
        </w:rPr>
        <w:t>21</w:t>
      </w:r>
      <w:r>
        <w:rPr>
          <w:rFonts w:hint="eastAsia" w:cs="仿宋" w:asciiTheme="minorEastAsia" w:hAnsiTheme="minorEastAsia"/>
          <w:sz w:val="24"/>
          <w:highlight w:val="none"/>
        </w:rPr>
        <w:t>日</w:t>
      </w:r>
    </w:p>
    <w:p>
      <w:pPr>
        <w:spacing w:line="460" w:lineRule="exact"/>
        <w:jc w:val="center"/>
        <w:rPr>
          <w:rFonts w:cs="仿宋" w:asciiTheme="minorEastAsia" w:hAnsiTheme="minorEastAsia"/>
          <w:b/>
          <w:bCs/>
          <w:sz w:val="36"/>
          <w:szCs w:val="36"/>
        </w:rPr>
      </w:pPr>
    </w:p>
    <w:p>
      <w:pPr>
        <w:spacing w:line="460" w:lineRule="exact"/>
        <w:jc w:val="center"/>
        <w:rPr>
          <w:rFonts w:hint="eastAsia" w:cs="仿宋" w:asciiTheme="minorEastAsia" w:hAnsiTheme="minorEastAsia"/>
          <w:b/>
          <w:bCs/>
          <w:sz w:val="36"/>
          <w:szCs w:val="36"/>
        </w:rPr>
      </w:pPr>
    </w:p>
    <w:p>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pPr>
        <w:spacing w:line="460" w:lineRule="exact"/>
        <w:ind w:firstLine="643" w:firstLineChars="200"/>
        <w:jc w:val="center"/>
        <w:rPr>
          <w:rFonts w:cs="仿宋" w:asciiTheme="minorEastAsia" w:hAnsiTheme="minorEastAsia"/>
          <w:b/>
          <w:sz w:val="24"/>
        </w:rPr>
      </w:pPr>
      <w:r>
        <w:rPr>
          <w:rFonts w:hint="eastAsia" w:cs="仿宋" w:asciiTheme="minorEastAsia" w:hAnsiTheme="minorEastAsia"/>
          <w:b/>
          <w:bCs/>
          <w:sz w:val="32"/>
          <w:szCs w:val="32"/>
        </w:rPr>
        <w:t>前附表</w:t>
      </w:r>
    </w:p>
    <w:tbl>
      <w:tblPr>
        <w:tblStyle w:val="16"/>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本项目的规定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20"/>
              <w:adjustRightInd w:val="0"/>
              <w:snapToGrid w:val="0"/>
              <w:spacing w:line="400" w:lineRule="exact"/>
              <w:jc w:val="center"/>
              <w:rPr>
                <w:b/>
                <w:szCs w:val="21"/>
              </w:rPr>
            </w:pPr>
            <w:r>
              <w:rPr>
                <w:rFonts w:hint="eastAsia"/>
                <w:b/>
                <w:snapToGrid w:val="0"/>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0"/>
              <w:snapToGrid w:val="0"/>
              <w:spacing w:line="400" w:lineRule="exact"/>
              <w:ind w:right="42" w:rightChars="20"/>
              <w:rPr>
                <w:szCs w:val="21"/>
              </w:rPr>
            </w:pPr>
            <w:r>
              <w:rPr>
                <w:rFonts w:hint="eastAsia"/>
                <w:snapToGrid w:val="0"/>
                <w:szCs w:val="21"/>
              </w:rPr>
              <w:t>详见采购公告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20"/>
              <w:adjustRightInd w:val="0"/>
              <w:snapToGrid w:val="0"/>
              <w:spacing w:line="400" w:lineRule="exact"/>
              <w:jc w:val="center"/>
              <w:rPr>
                <w:b/>
                <w:snapToGrid w:val="0"/>
                <w:szCs w:val="21"/>
              </w:rPr>
            </w:pPr>
            <w:r>
              <w:rPr>
                <w:rFonts w:hint="eastAsia"/>
                <w:b/>
                <w:bCs/>
                <w:snapToGrid w:val="0"/>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0"/>
              <w:snapToGrid w:val="0"/>
              <w:spacing w:line="400" w:lineRule="exact"/>
              <w:ind w:right="42" w:rightChars="20"/>
              <w:rPr>
                <w:snapToGrid w:val="0"/>
                <w:szCs w:val="21"/>
              </w:rPr>
            </w:pPr>
            <w:r>
              <w:rPr>
                <w:rFonts w:hint="eastAsia"/>
                <w:snapToGrid w:val="0"/>
                <w:szCs w:val="21"/>
              </w:rPr>
              <w:t xml:space="preserve">供应商资格审查方式：  □资格预审  </w:t>
            </w:r>
            <w:r>
              <w:rPr>
                <w:rFonts w:hint="eastAsia"/>
                <w:snapToGrid w:val="0"/>
                <w:szCs w:val="21"/>
              </w:rPr>
              <w:sym w:font="Wingdings 2" w:char="0052"/>
            </w:r>
            <w:r>
              <w:rPr>
                <w:rFonts w:hint="eastAsia"/>
                <w:snapToGrid w:val="0"/>
                <w:szCs w:val="21"/>
              </w:rPr>
              <w:t>资格后审</w:t>
            </w:r>
          </w:p>
          <w:p>
            <w:pPr>
              <w:pStyle w:val="20"/>
              <w:snapToGrid w:val="0"/>
              <w:spacing w:line="400" w:lineRule="exact"/>
              <w:ind w:right="42" w:rightChars="20"/>
              <w:rPr>
                <w:snapToGrid w:val="0"/>
                <w:szCs w:val="21"/>
              </w:rPr>
            </w:pPr>
            <w:r>
              <w:rPr>
                <w:rFonts w:hint="eastAsia"/>
                <w:snapToGrid w:val="0"/>
                <w:szCs w:val="21"/>
              </w:rPr>
              <w:t>资格条件见采购公告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1593" w:type="dxa"/>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bCs/>
                <w:snapToGrid w:val="0"/>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0"/>
              <w:snapToGrid w:val="0"/>
              <w:spacing w:line="400" w:lineRule="exact"/>
              <w:ind w:right="42" w:rightChars="20"/>
              <w:rPr>
                <w:snapToGrid w:val="0"/>
                <w:szCs w:val="21"/>
              </w:rPr>
            </w:pPr>
            <w:r>
              <w:rPr>
                <w:rFonts w:hint="eastAsia"/>
                <w:snapToGrid w:val="0"/>
                <w:szCs w:val="21"/>
              </w:rPr>
              <w:t xml:space="preserve">（1）分包：□允许  </w:t>
            </w:r>
            <w:r>
              <w:rPr>
                <w:rFonts w:hint="eastAsia"/>
                <w:szCs w:val="21"/>
                <w:lang w:bidi="ar"/>
              </w:rPr>
              <w:sym w:font="Wingdings" w:char="00FE"/>
            </w:r>
            <w:r>
              <w:rPr>
                <w:rFonts w:hint="eastAsia"/>
                <w:snapToGrid w:val="0"/>
                <w:szCs w:val="21"/>
              </w:rPr>
              <w:t>不允许</w:t>
            </w:r>
          </w:p>
          <w:p>
            <w:pPr>
              <w:pStyle w:val="20"/>
              <w:snapToGrid w:val="0"/>
              <w:spacing w:line="400" w:lineRule="exact"/>
              <w:ind w:right="42" w:rightChars="20"/>
              <w:rPr>
                <w:szCs w:val="21"/>
              </w:rPr>
            </w:pPr>
            <w:r>
              <w:rPr>
                <w:rFonts w:hint="eastAsia"/>
                <w:snapToGrid w:val="0"/>
                <w:szCs w:val="21"/>
              </w:rPr>
              <w:t>（2）本项目不得转包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25"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4</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7"/>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szCs w:val="21"/>
              </w:rPr>
            </w:pPr>
            <w:sdt>
              <w:sdtPr>
                <w:rPr>
                  <w:rFonts w:hint="eastAsia" w:ascii="宋体" w:hAnsi="宋体" w:eastAsia="宋体" w:cs="宋体"/>
                  <w:kern w:val="0"/>
                  <w:szCs w:val="21"/>
                </w:rPr>
                <w:id w:val="18"/>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r>
              <w:rPr>
                <w:rFonts w:hint="eastAsia" w:ascii="宋体" w:hAnsi="宋体" w:eastAsia="宋体" w:cs="宋体"/>
                <w:kern w:val="0"/>
                <w:szCs w:val="21"/>
              </w:rPr>
              <w:t>B组织，</w:t>
            </w:r>
            <w:r>
              <w:rPr>
                <w:rFonts w:hint="eastAsia" w:ascii="宋体" w:hAnsi="宋体" w:eastAsia="宋体" w:cs="宋体"/>
                <w:szCs w:val="21"/>
              </w:rPr>
              <w:t>时间：,地点：，联系人：，联系方式：。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5</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1117802964"/>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Content>
            </w:sdt>
            <w:r>
              <w:rPr>
                <w:rFonts w:hint="eastAsia" w:ascii="宋体" w:hAnsi="宋体" w:eastAsia="宋体" w:cs="宋体"/>
                <w:kern w:val="0"/>
                <w:szCs w:val="21"/>
              </w:rPr>
              <w:t>A</w:t>
            </w:r>
            <w:r>
              <w:rPr>
                <w:rFonts w:hint="eastAsia" w:ascii="宋体" w:hAnsi="宋体" w:eastAsia="宋体" w:cs="宋体"/>
                <w:szCs w:val="21"/>
              </w:rPr>
              <w:t>不要求提供。</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726270210"/>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sdt>
              <w:sdtPr>
                <w:rPr>
                  <w:rFonts w:hint="eastAsia" w:ascii="宋体" w:hAnsi="宋体" w:eastAsia="宋体" w:cs="宋体"/>
                  <w:kern w:val="0"/>
                  <w:szCs w:val="21"/>
                </w:rPr>
                <w:id w:val="1026831988"/>
              </w:sdtPr>
              <w:sdtEndPr>
                <w:rPr>
                  <w:rFonts w:hint="eastAsia" w:ascii="宋体" w:hAnsi="宋体" w:eastAsia="宋体" w:cs="宋体"/>
                  <w:kern w:val="0"/>
                  <w:szCs w:val="21"/>
                </w:rPr>
              </w:sdtEndPr>
              <w:sdtContent/>
            </w:sdt>
            <w:r>
              <w:rPr>
                <w:rFonts w:hint="eastAsia" w:ascii="宋体" w:hAnsi="宋体" w:eastAsia="宋体" w:cs="宋体"/>
                <w:kern w:val="0"/>
                <w:szCs w:val="21"/>
              </w:rPr>
              <w:t>B要求提供。</w:t>
            </w:r>
          </w:p>
          <w:p>
            <w:pPr>
              <w:spacing w:line="360" w:lineRule="auto"/>
              <w:rPr>
                <w:rFonts w:ascii="宋体" w:hAnsi="宋体" w:eastAsia="宋体" w:cs="宋体"/>
                <w:b/>
                <w:szCs w:val="21"/>
              </w:rPr>
            </w:pPr>
            <w:r>
              <w:rPr>
                <w:rFonts w:hint="eastAsia" w:ascii="宋体" w:hAnsi="宋体" w:eastAsia="宋体" w:cs="宋体"/>
                <w:szCs w:val="21"/>
              </w:rPr>
              <w:t>潜在供应商需要提供</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作为样品，从样品中能看出材质、样式结构、质量等关键信息并予以标注，样品作为后续验收参考标准之一。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 w:val="24"/>
              </w:rPr>
            </w:pPr>
            <w:r>
              <w:rPr>
                <w:rFonts w:hint="eastAsia" w:ascii="宋体" w:hAnsi="宋体" w:eastAsia="宋体" w:cs="宋体"/>
                <w:szCs w:val="21"/>
              </w:rPr>
              <w:t>6</w:t>
            </w:r>
          </w:p>
        </w:tc>
        <w:tc>
          <w:tcPr>
            <w:tcW w:w="159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ascii="宋体" w:hAnsi="宋体" w:eastAsia="宋体" w:cs="宋体"/>
                <w:b/>
                <w:szCs w:val="21"/>
              </w:rPr>
            </w:pPr>
            <w:r>
              <w:rPr>
                <w:rFonts w:hint="eastAsia" w:ascii="宋体" w:hAnsi="宋体" w:eastAsia="宋体" w:cs="宋体"/>
                <w:b/>
                <w:bCs/>
                <w:szCs w:val="21"/>
                <w:highlight w:val="none"/>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307003361"/>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r>
              <w:rPr>
                <w:rFonts w:hint="eastAsia" w:ascii="宋体" w:hAnsi="宋体" w:eastAsia="宋体" w:cs="宋体"/>
                <w:kern w:val="0"/>
                <w:szCs w:val="21"/>
              </w:rPr>
              <w:t>A</w:t>
            </w:r>
            <w:r>
              <w:rPr>
                <w:rFonts w:hint="eastAsia" w:ascii="宋体" w:hAnsi="宋体" w:eastAsia="宋体" w:cs="宋体"/>
                <w:szCs w:val="21"/>
              </w:rPr>
              <w:t>不要求询价保证金</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989144243"/>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sdt>
              <w:sdtPr>
                <w:rPr>
                  <w:rFonts w:hint="eastAsia" w:ascii="宋体" w:hAnsi="宋体" w:eastAsia="宋体" w:cs="宋体"/>
                  <w:kern w:val="0"/>
                  <w:szCs w:val="21"/>
                </w:rPr>
                <w:id w:val="888378543"/>
              </w:sdtPr>
              <w:sdtEndPr>
                <w:rPr>
                  <w:rFonts w:hint="eastAsia" w:ascii="宋体" w:hAnsi="宋体" w:eastAsia="宋体" w:cs="宋体"/>
                  <w:kern w:val="0"/>
                  <w:szCs w:val="21"/>
                </w:rPr>
              </w:sdtEndPr>
              <w:sdtContent/>
            </w:sdt>
            <w:r>
              <w:rPr>
                <w:rFonts w:hint="eastAsia" w:ascii="宋体" w:hAnsi="宋体" w:eastAsia="宋体" w:cs="宋体"/>
                <w:kern w:val="0"/>
                <w:szCs w:val="21"/>
              </w:rPr>
              <w:t>B要求</w:t>
            </w:r>
            <w:r>
              <w:rPr>
                <w:rFonts w:hint="eastAsia" w:ascii="宋体" w:hAnsi="宋体" w:eastAsia="宋体" w:cs="宋体"/>
                <w:szCs w:val="21"/>
              </w:rPr>
              <w:t>询价保证金</w:t>
            </w:r>
            <w:r>
              <w:rPr>
                <w:rFonts w:hint="eastAsia" w:ascii="宋体" w:hAnsi="宋体" w:eastAsia="宋体" w:cs="宋体"/>
                <w:kern w:val="0"/>
                <w:szCs w:val="21"/>
              </w:rPr>
              <w:t>。</w:t>
            </w:r>
          </w:p>
          <w:p>
            <w:pPr>
              <w:spacing w:line="360" w:lineRule="auto"/>
              <w:outlineLvl w:val="1"/>
              <w:rPr>
                <w:rFonts w:ascii="宋体" w:hAnsi="宋体" w:eastAsia="宋体" w:cs="宋体"/>
                <w:b/>
                <w:bCs/>
                <w:szCs w:val="21"/>
              </w:rPr>
            </w:pPr>
            <w:r>
              <w:rPr>
                <w:rFonts w:hint="eastAsia" w:ascii="宋体" w:hAnsi="宋体" w:eastAsia="宋体" w:cs="宋体"/>
                <w:szCs w:val="21"/>
              </w:rPr>
              <w:t>本采购项目询价保证金为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rPr>
              <w:t>元，供应商应在投标截止日前以电汇或网银转账方式缴纳至杭州临江环境能源有限公司。同时将银行缴款凭证复印件作为投标文件组成部分。</w:t>
            </w:r>
            <w:r>
              <w:rPr>
                <w:rFonts w:hint="eastAsia" w:ascii="宋体" w:hAnsi="宋体" w:eastAsia="宋体" w:cs="宋体"/>
                <w:b/>
                <w:bCs/>
                <w:szCs w:val="21"/>
              </w:rPr>
              <w:t xml:space="preserve">须注明： </w:t>
            </w:r>
            <w:r>
              <w:rPr>
                <w:rFonts w:hint="eastAsia" w:ascii="宋体" w:hAnsi="宋体" w:eastAsia="宋体" w:cs="宋体"/>
                <w:b/>
                <w:bCs/>
                <w:szCs w:val="21"/>
                <w:u w:val="single"/>
                <w:lang w:val="en-US" w:eastAsia="zh-CN"/>
              </w:rPr>
              <w:t>/</w:t>
            </w:r>
            <w:r>
              <w:rPr>
                <w:rFonts w:hint="eastAsia" w:ascii="宋体" w:hAnsi="宋体" w:eastAsia="宋体" w:cs="宋体"/>
                <w:b/>
                <w:bCs/>
                <w:szCs w:val="21"/>
                <w:u w:val="single"/>
              </w:rPr>
              <w:t xml:space="preserve"> </w:t>
            </w:r>
            <w:r>
              <w:rPr>
                <w:rFonts w:hint="eastAsia" w:ascii="宋体" w:hAnsi="宋体" w:eastAsia="宋体" w:cs="宋体"/>
                <w:b/>
                <w:bCs/>
                <w:szCs w:val="21"/>
              </w:rPr>
              <w:t>询价保证金</w:t>
            </w:r>
          </w:p>
          <w:p>
            <w:pPr>
              <w:pStyle w:val="21"/>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户    名：杭州临江环境能源有限公司</w:t>
            </w:r>
          </w:p>
          <w:p>
            <w:pPr>
              <w:pStyle w:val="21"/>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开户银行：杭州银行大江东支行</w:t>
            </w:r>
          </w:p>
          <w:p>
            <w:pPr>
              <w:spacing w:line="360" w:lineRule="auto"/>
              <w:outlineLvl w:val="1"/>
              <w:rPr>
                <w:rFonts w:ascii="宋体" w:hAnsi="宋体" w:eastAsia="宋体" w:cs="宋体"/>
                <w:szCs w:val="21"/>
              </w:rPr>
            </w:pPr>
            <w:r>
              <w:rPr>
                <w:rFonts w:hint="eastAsia" w:ascii="宋体" w:hAnsi="宋体" w:eastAsia="宋体" w:cs="宋体"/>
                <w:szCs w:val="21"/>
              </w:rPr>
              <w:t>帐    号：3301040160008775754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7</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方案讲解演示</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58"/>
              </w:sdtPr>
              <w:sdtEndPr>
                <w:rPr>
                  <w:rFonts w:hint="eastAsia" w:ascii="宋体" w:hAnsi="宋体" w:eastAsia="宋体" w:cs="宋体"/>
                  <w:kern w:val="0"/>
                  <w:szCs w:val="21"/>
                </w:rPr>
              </w:sdtEndPr>
              <w:sdtContent>
                <w:sdt>
                  <w:sdtPr>
                    <w:rPr>
                      <w:rFonts w:hint="eastAsia" w:ascii="宋体" w:hAnsi="宋体" w:eastAsia="宋体" w:cs="宋体"/>
                      <w:kern w:val="0"/>
                      <w:szCs w:val="21"/>
                    </w:rPr>
                    <w:id w:val="59"/>
                  </w:sdtPr>
                  <w:sdtEndPr>
                    <w:rPr>
                      <w:rFonts w:hint="eastAsia" w:ascii="宋体" w:hAnsi="宋体" w:eastAsia="宋体" w:cs="宋体"/>
                      <w:kern w:val="0"/>
                      <w:szCs w:val="21"/>
                    </w:rPr>
                  </w:sdtEndPr>
                  <w:sdtContent>
                    <w:sdt>
                      <w:sdtPr>
                        <w:rPr>
                          <w:rFonts w:hint="eastAsia" w:ascii="宋体" w:hAnsi="宋体" w:eastAsia="宋体" w:cs="宋体"/>
                          <w:kern w:val="0"/>
                          <w:szCs w:val="21"/>
                        </w:rPr>
                        <w:id w:val="-495733405"/>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Content>
                </w:sdt>
                <w:sdt>
                  <w:sdtPr>
                    <w:rPr>
                      <w:rFonts w:hint="eastAsia" w:ascii="宋体" w:hAnsi="宋体" w:eastAsia="宋体" w:cs="宋体"/>
                      <w:kern w:val="0"/>
                      <w:szCs w:val="21"/>
                    </w:rPr>
                    <w:id w:val="60"/>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kern w:val="0"/>
                <w:szCs w:val="21"/>
              </w:rPr>
            </w:pPr>
            <w:sdt>
              <w:sdtPr>
                <w:rPr>
                  <w:rFonts w:hint="eastAsia" w:ascii="宋体" w:hAnsi="宋体" w:eastAsia="宋体" w:cs="宋体"/>
                  <w:kern w:val="0"/>
                  <w:szCs w:val="21"/>
                </w:rPr>
                <w:id w:val="11740717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62"/>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sdt>
                  <w:sdtPr>
                    <w:rPr>
                      <w:rFonts w:hint="eastAsia" w:ascii="宋体" w:hAnsi="宋体" w:eastAsia="宋体" w:cs="宋体"/>
                      <w:kern w:val="0"/>
                      <w:szCs w:val="21"/>
                    </w:rPr>
                    <w:id w:val="63"/>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B组织。</w:t>
            </w:r>
          </w:p>
          <w:p>
            <w:pPr>
              <w:snapToGrid w:val="0"/>
              <w:spacing w:line="360" w:lineRule="auto"/>
              <w:rPr>
                <w:rFonts w:ascii="宋体" w:hAnsi="宋体" w:eastAsia="宋体" w:cs="宋体"/>
                <w:b/>
                <w:kern w:val="0"/>
                <w:szCs w:val="21"/>
                <w:lang w:val="zh-CN"/>
              </w:rPr>
            </w:pPr>
            <w:r>
              <w:rPr>
                <w:rFonts w:hint="eastAsia" w:ascii="宋体" w:hAnsi="宋体" w:eastAsia="宋体" w:cs="宋体"/>
                <w:kern w:val="0"/>
                <w:szCs w:val="21"/>
              </w:rPr>
              <w:t>（1）在评审时安排供应商进行方案讲解演示。每个供应商时间不超过</w:t>
            </w:r>
            <w:r>
              <w:rPr>
                <w:rFonts w:hint="eastAsia" w:ascii="宋体" w:hAnsi="宋体" w:eastAsia="宋体" w:cs="宋体"/>
                <w:szCs w:val="21"/>
                <w:u w:val="single"/>
              </w:rPr>
              <w:t xml:space="preserve"> 20</w:t>
            </w:r>
            <w:r>
              <w:rPr>
                <w:rFonts w:hint="eastAsia" w:ascii="宋体" w:hAnsi="宋体" w:eastAsia="宋体" w:cs="宋体"/>
                <w:kern w:val="0"/>
                <w:szCs w:val="21"/>
                <w:u w:val="single"/>
              </w:rPr>
              <w:t>（编制时可根据项目情况进行调整）</w:t>
            </w:r>
            <w:r>
              <w:rPr>
                <w:rFonts w:hint="eastAsia" w:ascii="宋体" w:hAnsi="宋体" w:eastAsia="宋体" w:cs="宋体"/>
                <w:szCs w:val="21"/>
                <w:u w:val="single"/>
              </w:rPr>
              <w:t xml:space="preserve">   </w:t>
            </w:r>
            <w:r>
              <w:rPr>
                <w:rFonts w:hint="eastAsia" w:ascii="宋体" w:hAnsi="宋体" w:eastAsia="宋体" w:cs="宋体"/>
                <w:kern w:val="0"/>
                <w:szCs w:val="21"/>
              </w:rPr>
              <w:t>分钟，讲解次序以响应文件解密时间先后次序为准，讲解演示人员不超过</w:t>
            </w:r>
            <w:r>
              <w:rPr>
                <w:rFonts w:hint="eastAsia" w:ascii="宋体" w:hAnsi="宋体" w:eastAsia="宋体" w:cs="宋体"/>
                <w:kern w:val="0"/>
                <w:szCs w:val="21"/>
                <w:u w:val="single"/>
              </w:rPr>
              <w:t>3（编制时可根据项目情况进行调整）</w:t>
            </w:r>
            <w:r>
              <w:rPr>
                <w:rFonts w:hint="eastAsia" w:ascii="宋体" w:hAnsi="宋体" w:eastAsia="宋体" w:cs="宋体"/>
                <w:kern w:val="0"/>
                <w:szCs w:val="21"/>
              </w:rPr>
              <w:t>人。讲解演示结束后按要求解答询价评审小组提问。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8</w:t>
            </w:r>
          </w:p>
        </w:tc>
        <w:tc>
          <w:tcPr>
            <w:tcW w:w="159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ind w:firstLine="420" w:firstLineChars="200"/>
              <w:jc w:val="left"/>
              <w:rPr>
                <w:rFonts w:ascii="宋体" w:hAnsi="宋体" w:eastAsia="宋体" w:cs="宋体"/>
                <w:b/>
                <w:kern w:val="0"/>
                <w:szCs w:val="21"/>
                <w:lang w:val="zh-CN"/>
              </w:rPr>
            </w:pPr>
            <w:r>
              <w:rPr>
                <w:rFonts w:hint="eastAsia" w:ascii="宋体" w:hAnsi="宋体" w:eastAsia="宋体" w:cs="宋体"/>
                <w:kern w:val="0"/>
                <w:szCs w:val="21"/>
                <w:lang w:val="zh-CN"/>
              </w:rPr>
              <w:t>有关本项目实施所需的所有费用（含税费）均计入报价。</w:t>
            </w:r>
            <w:r>
              <w:rPr>
                <w:rFonts w:hint="eastAsia" w:ascii="宋体" w:hAnsi="宋体" w:eastAsia="宋体" w:cs="宋体"/>
                <w:szCs w:val="21"/>
                <w:lang w:val="zh-CN"/>
              </w:rPr>
              <w:t>响应报价函</w:t>
            </w:r>
            <w:r>
              <w:rPr>
                <w:rFonts w:hint="eastAsia" w:ascii="宋体" w:hAnsi="宋体" w:eastAsia="宋体" w:cs="宋体"/>
                <w:szCs w:val="21"/>
              </w:rPr>
              <w:t>是报价的唯一载体</w:t>
            </w:r>
            <w:r>
              <w:rPr>
                <w:rFonts w:hint="eastAsia" w:ascii="宋体" w:hAnsi="宋体" w:eastAsia="宋体" w:cs="宋体"/>
                <w:b/>
                <w:bCs/>
                <w:szCs w:val="21"/>
              </w:rPr>
              <w:t>，如供应商填写的报价函与响应文件中</w:t>
            </w:r>
            <w:r>
              <w:rPr>
                <w:rFonts w:hint="eastAsia" w:ascii="宋体" w:hAnsi="宋体" w:eastAsia="宋体" w:cs="宋体"/>
                <w:b/>
                <w:bCs/>
                <w:szCs w:val="21"/>
                <w:lang w:val="zh-CN"/>
              </w:rPr>
              <w:t>响应报价明细表</w:t>
            </w:r>
            <w:r>
              <w:rPr>
                <w:rFonts w:hint="eastAsia" w:ascii="宋体" w:hAnsi="宋体" w:eastAsia="宋体" w:cs="宋体"/>
                <w:b/>
                <w:bCs/>
                <w:szCs w:val="21"/>
              </w:rPr>
              <w:t>不一致的，以</w:t>
            </w:r>
            <w:r>
              <w:rPr>
                <w:rFonts w:hint="eastAsia" w:ascii="宋体" w:hAnsi="宋体" w:eastAsia="宋体" w:cs="宋体"/>
                <w:b/>
                <w:bCs/>
                <w:szCs w:val="21"/>
                <w:lang w:val="zh-CN"/>
              </w:rPr>
              <w:t>响应报价函</w:t>
            </w:r>
            <w:r>
              <w:rPr>
                <w:rFonts w:hint="eastAsia" w:ascii="宋体" w:hAnsi="宋体" w:eastAsia="宋体" w:cs="宋体"/>
                <w:b/>
                <w:bCs/>
                <w:szCs w:val="21"/>
              </w:rPr>
              <w:t>为准。</w:t>
            </w:r>
            <w:r>
              <w:rPr>
                <w:rFonts w:hint="eastAsia" w:ascii="宋体" w:hAnsi="宋体" w:eastAsia="宋体" w:cs="宋体"/>
                <w:kern w:val="0"/>
                <w:szCs w:val="21"/>
                <w:lang w:val="zh-CN"/>
              </w:rPr>
              <w:t>响应文件中价格全部采用人民币报价。询价采购文件未列明，而供应商认为必需的费用也需列入报价。</w:t>
            </w:r>
          </w:p>
          <w:p>
            <w:pPr>
              <w:snapToGrid w:val="0"/>
              <w:spacing w:line="360" w:lineRule="auto"/>
              <w:ind w:firstLine="422" w:firstLineChars="200"/>
              <w:jc w:val="left"/>
            </w:pPr>
            <w:r>
              <w:rPr>
                <w:rFonts w:hint="eastAsia" w:ascii="宋体" w:hAnsi="宋体" w:eastAsia="宋体" w:cs="宋体"/>
                <w:b/>
                <w:kern w:val="0"/>
                <w:szCs w:val="21"/>
                <w:lang w:val="zh-CN"/>
              </w:rPr>
              <w:t>响应无效情形，详见</w:t>
            </w:r>
            <w:r>
              <w:rPr>
                <w:rFonts w:hint="eastAsia"/>
              </w:rPr>
              <w:t>“第四部分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9</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评审方法</w:t>
            </w:r>
          </w:p>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snapToGrid w:val="0"/>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rPr>
              <w:t>综合评分法。</w:t>
            </w:r>
          </w:p>
          <w:p>
            <w:pPr>
              <w:autoSpaceDE w:val="0"/>
              <w:autoSpaceDN w:val="0"/>
              <w:adjustRightInd w:val="0"/>
              <w:snapToGrid w:val="0"/>
              <w:spacing w:line="320" w:lineRule="exact"/>
            </w:pPr>
            <w:r>
              <w:rPr>
                <w:rFonts w:hint="eastAsia" w:ascii="宋体" w:hAnsi="宋体" w:cs="宋体"/>
                <w:kern w:val="0"/>
                <w:szCs w:val="21"/>
                <w:lang w:bidi="ar"/>
              </w:rPr>
              <w:sym w:font="Wingdings" w:char="00FE"/>
            </w:r>
            <w:r>
              <w:rPr>
                <w:rFonts w:hint="eastAsia"/>
              </w:rPr>
              <w:t>经评审后最低投标价法。</w:t>
            </w:r>
          </w:p>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ascii="宋体" w:hAnsi="宋体" w:cs="宋体"/>
                <w:kern w:val="0"/>
                <w:szCs w:val="21"/>
                <w:lang w:bidi="ar"/>
              </w:rPr>
              <w:t>其他</w:t>
            </w:r>
            <w:r>
              <w:rPr>
                <w:rFonts w:hint="eastAsia"/>
              </w:rPr>
              <w:t>。</w:t>
            </w:r>
          </w:p>
          <w:p>
            <w:pPr>
              <w:autoSpaceDE w:val="0"/>
              <w:autoSpaceDN w:val="0"/>
              <w:adjustRightInd w:val="0"/>
              <w:snapToGrid w:val="0"/>
              <w:spacing w:line="320" w:lineRule="exact"/>
              <w:rPr>
                <w:rFonts w:ascii="宋体" w:hAnsi="宋体" w:eastAsia="宋体" w:cs="宋体"/>
                <w:b/>
                <w:kern w:val="0"/>
                <w:szCs w:val="21"/>
              </w:rPr>
            </w:pPr>
            <w:r>
              <w:rPr>
                <w:rFonts w:hint="eastAsia"/>
              </w:rPr>
              <w:t>详见询价采购文件“第四部分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10</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推荐中标候选人的人数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snapToGrid w:val="0"/>
                <w:szCs w:val="21"/>
              </w:rPr>
            </w:pPr>
            <w:r>
              <w:rPr>
                <w:rFonts w:ascii="宋体" w:hAnsi="宋体" w:cs="宋体"/>
              </w:rPr>
              <w:t>1</w:t>
            </w:r>
            <w:r>
              <w:rPr>
                <w:rFonts w:hint="eastAsia" w:ascii="宋体" w:hAnsi="宋体" w:cs="宋体"/>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11</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2"/>
              <w:snapToGrid w:val="0"/>
              <w:spacing w:line="400" w:lineRule="exact"/>
              <w:ind w:firstLine="0" w:firstLineChars="0"/>
              <w:jc w:val="left"/>
              <w:rPr>
                <w:rFonts w:ascii="宋体" w:hAnsi="宋体" w:cs="宋体"/>
              </w:rPr>
            </w:pPr>
            <w:r>
              <w:rPr>
                <w:rFonts w:hint="eastAsia" w:ascii="宋体" w:hAnsi="宋体" w:cs="宋体"/>
              </w:rPr>
              <w:t>履约保证金金额：约合同价的</w:t>
            </w:r>
            <w:r>
              <w:rPr>
                <w:rFonts w:ascii="宋体" w:hAnsi="宋体" w:cs="宋体"/>
              </w:rPr>
              <w:t>5</w:t>
            </w:r>
            <w:r>
              <w:rPr>
                <w:rFonts w:hint="eastAsia" w:ascii="宋体" w:hAnsi="宋体" w:cs="宋体"/>
              </w:rPr>
              <w:t>%</w:t>
            </w:r>
          </w:p>
          <w:p>
            <w:pPr>
              <w:pStyle w:val="22"/>
              <w:snapToGrid w:val="0"/>
              <w:spacing w:line="400" w:lineRule="exact"/>
              <w:ind w:firstLine="0" w:firstLineChars="0"/>
              <w:jc w:val="left"/>
              <w:rPr>
                <w:rFonts w:ascii="宋体" w:hAnsi="宋体" w:cs="宋体"/>
              </w:rPr>
            </w:pPr>
            <w:r>
              <w:rPr>
                <w:rFonts w:hint="eastAsia" w:ascii="宋体" w:hAnsi="宋体" w:cs="宋体"/>
              </w:rPr>
              <w:t>履约保证金缴纳形式：电汇/转账</w:t>
            </w:r>
          </w:p>
          <w:p>
            <w:pPr>
              <w:pStyle w:val="22"/>
              <w:snapToGrid w:val="0"/>
              <w:spacing w:line="400" w:lineRule="exact"/>
              <w:ind w:firstLine="0" w:firstLineChars="0"/>
              <w:jc w:val="left"/>
              <w:rPr>
                <w:rFonts w:ascii="宋体" w:hAnsi="宋体" w:cs="宋体"/>
              </w:rPr>
            </w:pPr>
            <w:r>
              <w:rPr>
                <w:rFonts w:hint="eastAsia" w:ascii="宋体" w:hAnsi="宋体" w:cs="宋体"/>
              </w:rPr>
              <w:t>履约保证金缴纳时间：合同签订前缴纳</w:t>
            </w:r>
          </w:p>
          <w:p>
            <w:pPr>
              <w:pStyle w:val="22"/>
              <w:snapToGrid w:val="0"/>
              <w:spacing w:line="400" w:lineRule="exact"/>
              <w:ind w:firstLine="0" w:firstLineChars="0"/>
              <w:jc w:val="left"/>
              <w:rPr>
                <w:rFonts w:ascii="宋体" w:hAnsi="宋体" w:cs="宋体"/>
              </w:rPr>
            </w:pPr>
            <w:r>
              <w:rPr>
                <w:rFonts w:hint="eastAsia" w:ascii="宋体" w:hAnsi="宋体" w:cs="宋体"/>
              </w:rPr>
              <w:t>履约保证金接收人：杭州临江环境能源有限公司</w:t>
            </w:r>
          </w:p>
          <w:p>
            <w:pPr>
              <w:pStyle w:val="22"/>
              <w:snapToGrid w:val="0"/>
              <w:spacing w:line="400" w:lineRule="exact"/>
              <w:ind w:firstLine="0" w:firstLineChars="0"/>
              <w:jc w:val="left"/>
              <w:rPr>
                <w:rFonts w:ascii="宋体" w:hAnsi="宋体" w:cs="宋体"/>
              </w:rPr>
            </w:pPr>
            <w:r>
              <w:rPr>
                <w:rFonts w:hint="eastAsia" w:ascii="宋体" w:hAnsi="宋体" w:cs="宋体"/>
              </w:rPr>
              <w:t>履约保证金有效期限：履约保证金将在本项目合同到期或终止后，扣除中标人应承担的违约金、损失赔偿金等款项后经中标人申请30个工作日后无息退还。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12</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bCs/>
                <w:snapToGrid w:val="0"/>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0"/>
              <w:snapToGrid w:val="0"/>
              <w:spacing w:line="400" w:lineRule="exact"/>
              <w:ind w:right="42" w:rightChars="20"/>
              <w:rPr>
                <w:snapToGrid w:val="0"/>
                <w:szCs w:val="21"/>
              </w:rPr>
            </w:pPr>
            <w:r>
              <w:rPr>
                <w:rFonts w:hint="eastAsia"/>
                <w:snapToGrid w:val="0"/>
                <w:szCs w:val="21"/>
              </w:rPr>
              <w:t>是否分册装订：</w:t>
            </w:r>
          </w:p>
          <w:p>
            <w:pPr>
              <w:pStyle w:val="20"/>
              <w:snapToGrid w:val="0"/>
              <w:spacing w:line="400" w:lineRule="exact"/>
              <w:ind w:right="42" w:rightChars="20"/>
              <w:rPr>
                <w:snapToGrid w:val="0"/>
                <w:szCs w:val="21"/>
              </w:rPr>
            </w:pPr>
            <w:r>
              <w:rPr>
                <w:rFonts w:hint="eastAsia"/>
                <w:szCs w:val="21"/>
                <w:lang w:bidi="ar"/>
              </w:rPr>
              <w:sym w:font="Wingdings" w:char="00FE"/>
            </w:r>
            <w:r>
              <w:rPr>
                <w:rFonts w:hint="eastAsia"/>
                <w:snapToGrid w:val="0"/>
                <w:szCs w:val="21"/>
              </w:rPr>
              <w:t>不分册装订；</w:t>
            </w:r>
          </w:p>
          <w:p>
            <w:pPr>
              <w:pStyle w:val="20"/>
              <w:snapToGrid w:val="0"/>
              <w:spacing w:line="400" w:lineRule="exact"/>
              <w:ind w:right="42" w:rightChars="20"/>
              <w:rPr>
                <w:snapToGrid w:val="0"/>
                <w:szCs w:val="21"/>
                <w:u w:val="single"/>
              </w:rPr>
            </w:pPr>
            <w:r>
              <w:rPr>
                <w:rFonts w:hint="eastAsia"/>
                <w:snapToGrid w:val="0"/>
                <w:szCs w:val="21"/>
              </w:rPr>
              <w:sym w:font="Wingdings 2" w:char="00A3"/>
            </w:r>
            <w:r>
              <w:rPr>
                <w:rFonts w:hint="eastAsia"/>
                <w:snapToGrid w:val="0"/>
                <w:szCs w:val="21"/>
              </w:rPr>
              <w:t>分册装订。</w:t>
            </w:r>
          </w:p>
          <w:p>
            <w:pPr>
              <w:pStyle w:val="20"/>
              <w:snapToGrid w:val="0"/>
              <w:spacing w:line="400" w:lineRule="exact"/>
              <w:ind w:right="42" w:rightChars="20"/>
              <w:rPr>
                <w:lang w:val="en-US"/>
              </w:rPr>
            </w:pPr>
            <w:r>
              <w:rPr>
                <w:rFonts w:hint="eastAsia"/>
                <w:snapToGrid w:val="0"/>
                <w:szCs w:val="21"/>
              </w:rPr>
              <w:t>装订要求：</w:t>
            </w:r>
            <w:r>
              <w:rPr>
                <w:rFonts w:hint="eastAsia"/>
                <w:snapToGrid w:val="0"/>
                <w:szCs w:val="21"/>
                <w:lang w:val="en-US"/>
              </w:rPr>
              <w:t>正本1份，副本2份，</w:t>
            </w:r>
            <w:r>
              <w:rPr>
                <w:rFonts w:hint="eastAsia"/>
                <w:snapToGrid w:val="0"/>
                <w:szCs w:val="21"/>
              </w:rPr>
              <w:t>A4幅面，单面或</w:t>
            </w:r>
            <w:r>
              <w:rPr>
                <w:rFonts w:hint="eastAsia"/>
                <w:b/>
                <w:bCs/>
                <w:snapToGrid w:val="0"/>
                <w:szCs w:val="21"/>
              </w:rPr>
              <w:t>双面</w:t>
            </w:r>
            <w:r>
              <w:rPr>
                <w:rFonts w:hint="eastAsia"/>
                <w:snapToGrid w:val="0"/>
                <w:szCs w:val="21"/>
              </w:rPr>
              <w:t>打印，装订应牢固、不易拆散和换页。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13</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bCs/>
                <w:snapToGrid w:val="0"/>
                <w:kern w:val="0"/>
                <w:szCs w:val="21"/>
              </w:rPr>
            </w:pPr>
            <w:r>
              <w:rPr>
                <w:rFonts w:hint="eastAsia" w:ascii="宋体" w:hAnsi="宋体" w:cs="宋体"/>
                <w:b/>
                <w:bCs/>
                <w:snapToGrid w:val="0"/>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0"/>
              <w:snapToGrid w:val="0"/>
              <w:spacing w:line="400" w:lineRule="exact"/>
              <w:ind w:right="42" w:rightChars="20"/>
              <w:rPr>
                <w:snapToGrid w:val="0"/>
                <w:szCs w:val="21"/>
              </w:rPr>
            </w:pPr>
            <w:r>
              <w:rPr>
                <w:rFonts w:hint="eastAsia" w:cs="仿宋" w:asciiTheme="minorEastAsia" w:hAnsiTheme="minorEastAsia"/>
                <w:sz w:val="24"/>
                <w:szCs w:val="20"/>
              </w:rPr>
              <w:t>响应有效期为从提交响应文件的截止之日起</w:t>
            </w:r>
            <w:r>
              <w:rPr>
                <w:rFonts w:hint="eastAsia" w:cs="仿宋" w:asciiTheme="minorEastAsia" w:hAnsiTheme="minorEastAsia"/>
                <w:sz w:val="24"/>
                <w:szCs w:val="20"/>
                <w:u w:val="single"/>
              </w:rPr>
              <w:t>90</w:t>
            </w:r>
            <w:r>
              <w:rPr>
                <w:rFonts w:hint="eastAsia" w:cs="仿宋" w:asciiTheme="minorEastAsia" w:hAnsiTheme="minorEastAsia"/>
                <w:sz w:val="24"/>
                <w:szCs w:val="20"/>
              </w:rPr>
              <w:t>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tc>
      </w:tr>
    </w:tbl>
    <w:p>
      <w:pPr>
        <w:spacing w:line="360" w:lineRule="auto"/>
        <w:jc w:val="center"/>
        <w:outlineLvl w:val="0"/>
        <w:rPr>
          <w:rFonts w:cs="仿宋" w:asciiTheme="minorEastAsia" w:hAnsiTheme="minorEastAsia"/>
          <w:b/>
          <w:sz w:val="32"/>
          <w:szCs w:val="20"/>
        </w:rPr>
      </w:pPr>
    </w:p>
    <w:p>
      <w:pPr>
        <w:spacing w:line="360" w:lineRule="auto"/>
        <w:jc w:val="both"/>
        <w:outlineLvl w:val="0"/>
        <w:rPr>
          <w:rFonts w:hint="eastAsia"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本询价采购文件适用于该项目的邀请、响应、响应文件开启、资格审查及信用信息查询、询价、确定成交供应商、合同、验收等行为（法律、法规另有规定的，从其规定）。</w:t>
      </w:r>
    </w:p>
    <w:p>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2.3 “中标人”系指是指经采购人确定的本项目供应商。</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2.4“负责人”系指法人企业的法定负责人，或其他组织为法律、行政法规规定代表单位行使职权的主要负责人。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2.5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pPr>
        <w:pStyle w:val="9"/>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pPr>
        <w:pStyle w:val="9"/>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pPr>
        <w:pStyle w:val="9"/>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pPr>
        <w:pStyle w:val="9"/>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pPr>
        <w:pStyle w:val="9"/>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pPr>
        <w:pStyle w:val="9"/>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pPr>
        <w:pStyle w:val="9"/>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pPr>
        <w:pStyle w:val="9"/>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pPr>
        <w:pStyle w:val="9"/>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pPr>
        <w:pStyle w:val="23"/>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pPr>
        <w:pStyle w:val="23"/>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pPr>
        <w:pStyle w:val="7"/>
        <w:rPr>
          <w:rFonts w:cs="仿宋" w:asciiTheme="minorEastAsia" w:hAnsiTheme="minorEastAsia"/>
          <w:sz w:val="18"/>
          <w:szCs w:val="18"/>
          <w:lang w:val="en-US"/>
        </w:rPr>
      </w:pPr>
    </w:p>
    <w:p>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pPr>
        <w:pStyle w:val="9"/>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pPr>
        <w:spacing w:line="360" w:lineRule="auto"/>
        <w:ind w:firstLine="480" w:firstLineChars="200"/>
        <w:rPr>
          <w:rFonts w:cs="仿宋" w:asciiTheme="minorEastAsia" w:hAnsiTheme="minorEastAsia"/>
          <w:snapToGrid w:val="0"/>
          <w:kern w:val="28"/>
          <w:sz w:val="24"/>
        </w:rPr>
      </w:pPr>
      <w:r>
        <w:rPr>
          <w:rFonts w:hint="eastAsia" w:cs="仿宋" w:asciiTheme="minorEastAsia" w:hAnsiTheme="minorEastAsia"/>
          <w:snapToGrid w:val="0"/>
          <w:kern w:val="28"/>
          <w:sz w:val="24"/>
        </w:rPr>
        <w:t>详见采购公告中获取询价采购文件的时间期限、地点、方式。</w:t>
      </w:r>
    </w:p>
    <w:p>
      <w:pPr>
        <w:pStyle w:val="9"/>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6.响应截至前答疑会或现场考察</w:t>
      </w:r>
    </w:p>
    <w:p>
      <w:pPr>
        <w:pStyle w:val="9"/>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pPr>
        <w:pStyle w:val="9"/>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pPr>
        <w:pStyle w:val="9"/>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pPr>
        <w:pStyle w:val="9"/>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pPr>
        <w:pStyle w:val="9"/>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pPr>
        <w:snapToGrid w:val="0"/>
        <w:spacing w:line="360" w:lineRule="auto"/>
        <w:ind w:firstLine="960" w:firstLineChars="400"/>
        <w:rPr>
          <w:rFonts w:hint="default" w:cs="仿宋" w:asciiTheme="minorEastAsia" w:hAnsiTheme="minorEastAsia" w:eastAsiaTheme="minorEastAsia"/>
          <w:sz w:val="24"/>
          <w:lang w:val="en-US" w:eastAsia="zh-CN"/>
        </w:rPr>
      </w:pPr>
      <w:r>
        <w:rPr>
          <w:rFonts w:hint="eastAsia" w:cs="仿宋" w:asciiTheme="minorEastAsia" w:hAnsiTheme="minorEastAsia"/>
          <w:sz w:val="24"/>
        </w:rPr>
        <w:t>9.1.2年审有效期内的营业执照</w:t>
      </w:r>
      <w:r>
        <w:rPr>
          <w:rFonts w:hint="eastAsia" w:cs="仿宋" w:asciiTheme="minorEastAsia" w:hAnsiTheme="minorEastAsia"/>
          <w:sz w:val="24"/>
          <w:lang w:eastAsia="zh-CN"/>
        </w:rPr>
        <w:t>、</w:t>
      </w:r>
      <w:r>
        <w:rPr>
          <w:rFonts w:hint="eastAsia" w:cs="仿宋" w:asciiTheme="minorEastAsia" w:hAnsiTheme="minorEastAsia"/>
          <w:sz w:val="24"/>
          <w:lang w:val="en-US" w:eastAsia="zh-CN"/>
        </w:rPr>
        <w:t>危废经营许可证；</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pPr>
        <w:pStyle w:val="23"/>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pPr>
        <w:pStyle w:val="23"/>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pPr>
        <w:pStyle w:val="23"/>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pPr>
        <w:pStyle w:val="23"/>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pPr>
        <w:pStyle w:val="23"/>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pPr>
        <w:pStyle w:val="23"/>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pPr>
        <w:pStyle w:val="23"/>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pPr>
        <w:pStyle w:val="8"/>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pPr>
        <w:pStyle w:val="23"/>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pPr>
        <w:pStyle w:val="23"/>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pPr>
        <w:pStyle w:val="23"/>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pPr>
        <w:pStyle w:val="23"/>
        <w:spacing w:before="0"/>
        <w:ind w:firstLine="0" w:firstLineChars="0"/>
        <w:jc w:val="center"/>
        <w:rPr>
          <w:rFonts w:cs="仿宋" w:asciiTheme="minorEastAsia" w:hAnsiTheme="minorEastAsia"/>
          <w:b/>
          <w:sz w:val="32"/>
        </w:rPr>
      </w:pPr>
    </w:p>
    <w:p>
      <w:pPr>
        <w:pStyle w:val="23"/>
        <w:spacing w:before="0"/>
        <w:ind w:firstLine="0" w:firstLineChars="0"/>
        <w:jc w:val="center"/>
        <w:rPr>
          <w:rFonts w:cs="仿宋" w:asciiTheme="minorEastAsia" w:hAnsiTheme="minorEastAsia"/>
          <w:b/>
          <w:sz w:val="32"/>
        </w:rPr>
      </w:pPr>
    </w:p>
    <w:p>
      <w:pPr>
        <w:pStyle w:val="23"/>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pPr>
        <w:pStyle w:val="24"/>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pPr>
        <w:pStyle w:val="24"/>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15.1采购人按照询价采购文件规定的时间组织响应文件的开启，邀请所有供应商参加开标。供应商不足3家或者缴纳询价保证金少于3家（若有要求）的，不得开启拆封响应文件。</w:t>
      </w:r>
    </w:p>
    <w:p>
      <w:pPr>
        <w:pStyle w:val="24"/>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pPr>
        <w:pStyle w:val="23"/>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pPr>
        <w:pStyle w:val="23"/>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pPr>
        <w:pStyle w:val="23"/>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pPr>
        <w:pStyle w:val="23"/>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pPr>
        <w:pStyle w:val="23"/>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pPr>
        <w:pStyle w:val="23"/>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pPr>
        <w:pStyle w:val="23"/>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17.3信用信息的使用规则：经查询列入失信被执行人名单、重大税收违法案件当事人名单、政府采购严重违法失信行为记录名单的供应商将被拒绝参与杭州临江环境能源有限公司采购活动。</w:t>
      </w:r>
    </w:p>
    <w:p>
      <w:pPr>
        <w:pStyle w:val="23"/>
        <w:spacing w:before="0"/>
        <w:ind w:firstLine="480"/>
        <w:rPr>
          <w:rFonts w:cs="仿宋" w:asciiTheme="minorEastAsia" w:hAnsiTheme="minorEastAsia"/>
          <w:kern w:val="0"/>
          <w:szCs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pPr>
        <w:spacing w:line="360" w:lineRule="auto"/>
        <w:rPr>
          <w:rFonts w:cs="仿宋" w:asciiTheme="minorEastAsia" w:hAnsiTheme="minorEastAsia"/>
          <w:b/>
          <w:sz w:val="24"/>
        </w:rPr>
      </w:pPr>
    </w:p>
    <w:p>
      <w:pPr>
        <w:snapToGrid w:val="0"/>
        <w:spacing w:line="360" w:lineRule="auto"/>
        <w:jc w:val="center"/>
        <w:outlineLvl w:val="0"/>
        <w:rPr>
          <w:rFonts w:hint="eastAsia" w:cs="仿宋" w:asciiTheme="minorEastAsia" w:hAnsiTheme="minorEastAsia"/>
          <w:b/>
          <w:sz w:val="36"/>
          <w:szCs w:val="36"/>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pPr>
        <w:pStyle w:val="23"/>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pPr>
        <w:pStyle w:val="23"/>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pPr>
        <w:pStyle w:val="23"/>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pPr>
        <w:widowControl/>
        <w:shd w:val="clear" w:color="auto" w:fill="FFFFFF"/>
        <w:spacing w:line="360" w:lineRule="auto"/>
        <w:ind w:firstLine="480"/>
        <w:jc w:val="left"/>
        <w:rPr>
          <w:rFonts w:cs="仿宋" w:asciiTheme="minorEastAsia" w:hAnsiTheme="minorEastAsia"/>
          <w:b/>
          <w:sz w:val="32"/>
        </w:rPr>
      </w:pPr>
      <w:r>
        <w:rPr>
          <w:rFonts w:hint="eastAsia" w:cs="仿宋" w:asciiTheme="minorEastAsia" w:hAnsiTheme="minorEastAsia"/>
          <w:sz w:val="24"/>
        </w:rPr>
        <w:t>自成交供应商确定之日起10个工作日内，采购人向成交供应商发出成交通知书。</w:t>
      </w: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pPr>
        <w:pStyle w:val="8"/>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pPr>
        <w:pStyle w:val="8"/>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除不可抗力等特殊情况外，原则上采购人应当在成交通知书发出之日起10个工作日内，与成交供应商按照询价采购文件确定的事项签订采购合同。</w:t>
      </w:r>
    </w:p>
    <w:p>
      <w:pPr>
        <w:pStyle w:val="23"/>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pPr>
        <w:pStyle w:val="23"/>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pPr>
        <w:pStyle w:val="23"/>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pPr>
        <w:pStyle w:val="8"/>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pPr>
        <w:pStyle w:val="7"/>
        <w:ind w:firstLine="480" w:firstLineChars="200"/>
      </w:pPr>
      <w:r>
        <w:rPr>
          <w:rFonts w:hint="eastAsia"/>
        </w:rPr>
        <w:t>本项目无预付款。</w:t>
      </w:r>
    </w:p>
    <w:p>
      <w:pPr>
        <w:tabs>
          <w:tab w:val="left" w:pos="0"/>
        </w:tabs>
        <w:spacing w:line="360" w:lineRule="auto"/>
        <w:ind w:firstLine="480"/>
        <w:rPr>
          <w:rFonts w:cs="仿宋" w:asciiTheme="minorEastAsia" w:hAnsiTheme="minorEastAsia"/>
          <w:sz w:val="24"/>
        </w:rPr>
      </w:pPr>
    </w:p>
    <w:p>
      <w:pPr>
        <w:snapToGrid w:val="0"/>
        <w:spacing w:line="360" w:lineRule="auto"/>
        <w:jc w:val="center"/>
        <w:rPr>
          <w:rFonts w:cs="仿宋" w:asciiTheme="minorEastAsia" w:hAnsiTheme="minorEastAsia"/>
          <w:b/>
          <w:sz w:val="32"/>
        </w:rPr>
      </w:pPr>
      <w:r>
        <w:rPr>
          <w:rFonts w:hint="eastAsia" w:cs="仿宋" w:asciiTheme="minorEastAsia" w:hAnsiTheme="minorEastAsia"/>
          <w:b/>
          <w:sz w:val="32"/>
        </w:rPr>
        <w:t>八、询价保证金退还（若有）</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供应商的询价保证金将在采购人与中标人签订合同并按要求缴纳履约保证金后全额无息退还。退保证金前，供应商必须提供加盖公章或财务专用章的收款收据</w:t>
      </w:r>
      <w:r>
        <w:rPr>
          <w:rFonts w:hint="eastAsia" w:cs="仿宋" w:asciiTheme="minorEastAsia" w:hAnsiTheme="minorEastAsia"/>
          <w:b/>
          <w:bCs/>
          <w:sz w:val="24"/>
          <w:szCs w:val="20"/>
        </w:rPr>
        <w:t>（格式自理）</w:t>
      </w:r>
      <w:r>
        <w:rPr>
          <w:rFonts w:hint="eastAsia" w:cs="仿宋" w:asciiTheme="minorEastAsia" w:hAnsiTheme="minorEastAsia"/>
          <w:sz w:val="24"/>
          <w:szCs w:val="20"/>
        </w:rPr>
        <w:t xml:space="preserve">。   </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pPr>
        <w:tabs>
          <w:tab w:val="left" w:pos="1121"/>
        </w:tabs>
        <w:adjustRightInd w:val="0"/>
        <w:snapToGrid w:val="0"/>
        <w:spacing w:line="360" w:lineRule="auto"/>
        <w:ind w:firstLine="480" w:firstLineChars="200"/>
        <w:jc w:val="left"/>
        <w:rPr>
          <w:rFonts w:cs="仿宋" w:asciiTheme="minorEastAsia" w:hAnsiTheme="minorEastAsia"/>
          <w:b/>
          <w:sz w:val="32"/>
        </w:rPr>
      </w:pPr>
      <w:r>
        <w:rPr>
          <w:rFonts w:hint="eastAsia" w:cs="仿宋" w:asciiTheme="minorEastAsia" w:hAnsiTheme="minorEastAsia"/>
          <w:sz w:val="24"/>
          <w:szCs w:val="20"/>
        </w:rPr>
        <w:t>26.4法律、法规规定的其他情形。</w:t>
      </w: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pPr>
        <w:pStyle w:val="8"/>
        <w:spacing w:line="360" w:lineRule="auto"/>
        <w:ind w:firstLine="489"/>
        <w:rPr>
          <w:rFonts w:cs="仿宋" w:asciiTheme="minorEastAsia" w:hAnsiTheme="minorEastAsia"/>
          <w:b/>
        </w:rPr>
      </w:pPr>
      <w:r>
        <w:rPr>
          <w:rFonts w:hint="eastAsia" w:cs="仿宋" w:asciiTheme="minorEastAsia" w:hAnsiTheme="minorEastAsia"/>
          <w:b/>
        </w:rPr>
        <w:t>27.验收</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pPr>
        <w:pStyle w:val="9"/>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pPr>
        <w:pStyle w:val="7"/>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pPr>
        <w:snapToGrid w:val="0"/>
        <w:spacing w:line="360" w:lineRule="auto"/>
        <w:ind w:firstLine="482" w:firstLineChars="200"/>
        <w:jc w:val="left"/>
        <w:sectPr>
          <w:footerReference r:id="rId15" w:type="default"/>
          <w:pgSz w:w="11907" w:h="16840"/>
          <w:pgMar w:top="1440" w:right="1803" w:bottom="1440" w:left="1803" w:header="930" w:footer="992" w:gutter="0"/>
          <w:cols w:space="720" w:num="1"/>
          <w:docGrid w:linePitch="462" w:charSpace="0"/>
        </w:sect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p>
    <w:p>
      <w:pPr>
        <w:spacing w:line="460" w:lineRule="exact"/>
        <w:jc w:val="center"/>
        <w:rPr>
          <w:sz w:val="24"/>
        </w:rPr>
      </w:pPr>
      <w:r>
        <w:rPr>
          <w:rFonts w:hint="eastAsia" w:cs="仿宋" w:asciiTheme="minorEastAsia" w:hAnsiTheme="minorEastAsia"/>
          <w:b/>
          <w:sz w:val="36"/>
          <w:szCs w:val="36"/>
        </w:rPr>
        <w:t>第三部分 采购需求</w:t>
      </w:r>
    </w:p>
    <w:p>
      <w:pPr>
        <w:spacing w:line="360" w:lineRule="auto"/>
        <w:ind w:firstLine="482" w:firstLineChars="200"/>
        <w:rPr>
          <w:rFonts w:ascii="宋体" w:hAnsi="宋体" w:eastAsia="宋体" w:cs="宋体"/>
          <w:b/>
          <w:sz w:val="24"/>
        </w:rPr>
      </w:pPr>
      <w:r>
        <w:rPr>
          <w:rFonts w:hint="eastAsia" w:ascii="宋体" w:hAnsi="宋体" w:eastAsia="宋体" w:cs="宋体"/>
          <w:b/>
          <w:sz w:val="24"/>
        </w:rPr>
        <w:t>一、采购内容</w:t>
      </w:r>
    </w:p>
    <w:p>
      <w:pPr>
        <w:pStyle w:val="7"/>
        <w:ind w:firstLine="480" w:firstLineChars="200"/>
        <w:rPr>
          <w:lang w:val="en-US"/>
        </w:rPr>
      </w:pPr>
      <w:r>
        <w:rPr>
          <w:rFonts w:hint="eastAsia"/>
          <w:lang w:val="en-US"/>
        </w:rPr>
        <w:t>杭州临江环境能源有限公司</w:t>
      </w:r>
      <w:r>
        <w:rPr>
          <w:rFonts w:hint="eastAsia"/>
          <w:lang w:val="en-US" w:eastAsia="zh-CN"/>
        </w:rPr>
        <w:t>三固事业部</w:t>
      </w:r>
      <w:r>
        <w:rPr>
          <w:rFonts w:hint="eastAsia"/>
          <w:lang w:val="en-US"/>
        </w:rPr>
        <w:t>因日常</w:t>
      </w:r>
      <w:r>
        <w:rPr>
          <w:rFonts w:hint="eastAsia"/>
          <w:lang w:val="en-US" w:eastAsia="zh-CN"/>
        </w:rPr>
        <w:t>运营</w:t>
      </w:r>
      <w:r>
        <w:rPr>
          <w:rFonts w:hint="eastAsia"/>
          <w:lang w:val="en-US"/>
        </w:rPr>
        <w:t>需要，需</w:t>
      </w:r>
      <w:r>
        <w:rPr>
          <w:rFonts w:hint="eastAsia"/>
          <w:lang w:val="en-US" w:eastAsia="zh-CN"/>
        </w:rPr>
        <w:t>委托有资质的单位提供废油桶委外处置服务</w:t>
      </w:r>
      <w:r>
        <w:rPr>
          <w:rFonts w:hint="eastAsia"/>
          <w:lang w:val="en-US"/>
        </w:rPr>
        <w:t>，具体如下：</w:t>
      </w:r>
    </w:p>
    <w:p>
      <w:pPr>
        <w:adjustRightInd w:val="0"/>
        <w:snapToGrid w:val="0"/>
        <w:spacing w:line="360" w:lineRule="auto"/>
        <w:ind w:firstLine="480" w:firstLineChars="200"/>
        <w:rPr>
          <w:rFonts w:hint="eastAsia" w:ascii="宋体" w:hAnsi="Arial" w:cs="Arial" w:eastAsiaTheme="minorEastAsia"/>
          <w:snapToGrid w:val="0"/>
          <w:kern w:val="2"/>
          <w:sz w:val="24"/>
          <w:szCs w:val="21"/>
          <w:lang w:val="en-US" w:eastAsia="zh-CN" w:bidi="ar-SA"/>
        </w:rPr>
      </w:pPr>
      <w:r>
        <w:rPr>
          <w:rFonts w:hint="eastAsia" w:ascii="宋体" w:hAnsi="Arial" w:cs="Arial"/>
          <w:snapToGrid w:val="0"/>
          <w:kern w:val="2"/>
          <w:sz w:val="24"/>
          <w:szCs w:val="21"/>
          <w:lang w:val="en-US" w:eastAsia="zh-CN" w:bidi="ar-SA"/>
        </w:rPr>
        <w:t>1.</w:t>
      </w:r>
      <w:r>
        <w:rPr>
          <w:rFonts w:hint="eastAsia" w:ascii="宋体" w:hAnsi="Arial" w:cs="Arial" w:eastAsiaTheme="minorEastAsia"/>
          <w:snapToGrid w:val="0"/>
          <w:kern w:val="2"/>
          <w:sz w:val="24"/>
          <w:szCs w:val="21"/>
          <w:lang w:val="en-US" w:eastAsia="zh-CN" w:bidi="ar-SA"/>
        </w:rPr>
        <w:t>项目：202</w:t>
      </w:r>
      <w:r>
        <w:rPr>
          <w:rFonts w:hint="eastAsia" w:ascii="宋体" w:hAnsi="Arial" w:cs="Arial"/>
          <w:snapToGrid w:val="0"/>
          <w:kern w:val="2"/>
          <w:sz w:val="24"/>
          <w:szCs w:val="21"/>
          <w:lang w:val="en-US" w:eastAsia="zh-CN" w:bidi="ar-SA"/>
        </w:rPr>
        <w:t>4</w:t>
      </w:r>
      <w:r>
        <w:rPr>
          <w:rFonts w:hint="eastAsia" w:ascii="宋体" w:hAnsi="Arial" w:cs="Arial" w:eastAsiaTheme="minorEastAsia"/>
          <w:snapToGrid w:val="0"/>
          <w:kern w:val="2"/>
          <w:sz w:val="24"/>
          <w:szCs w:val="21"/>
          <w:lang w:val="en-US" w:eastAsia="zh-CN" w:bidi="ar-SA"/>
        </w:rPr>
        <w:t>年临江公司</w:t>
      </w:r>
      <w:r>
        <w:rPr>
          <w:rFonts w:hint="eastAsia" w:ascii="宋体" w:hAnsi="Arial" w:cs="Arial"/>
          <w:snapToGrid w:val="0"/>
          <w:kern w:val="2"/>
          <w:sz w:val="24"/>
          <w:szCs w:val="21"/>
          <w:lang w:val="en-US" w:eastAsia="zh-CN" w:bidi="ar-SA"/>
        </w:rPr>
        <w:t>废油桶</w:t>
      </w:r>
      <w:r>
        <w:rPr>
          <w:rFonts w:hint="eastAsia" w:ascii="宋体" w:hAnsi="Arial" w:cs="Arial" w:eastAsiaTheme="minorEastAsia"/>
          <w:snapToGrid w:val="0"/>
          <w:kern w:val="2"/>
          <w:sz w:val="24"/>
          <w:szCs w:val="21"/>
          <w:lang w:val="en-US" w:eastAsia="zh-CN" w:bidi="ar-SA"/>
        </w:rPr>
        <w:t>委外处置服务项目</w:t>
      </w:r>
    </w:p>
    <w:p>
      <w:pPr>
        <w:adjustRightInd w:val="0"/>
        <w:snapToGrid w:val="0"/>
        <w:spacing w:line="360" w:lineRule="auto"/>
        <w:ind w:firstLine="480" w:firstLineChars="200"/>
        <w:rPr>
          <w:rFonts w:hint="eastAsia" w:ascii="宋体" w:hAnsi="Arial" w:cs="Arial" w:eastAsiaTheme="minorEastAsia"/>
          <w:snapToGrid w:val="0"/>
          <w:kern w:val="2"/>
          <w:sz w:val="24"/>
          <w:szCs w:val="21"/>
          <w:lang w:val="en-US" w:eastAsia="zh-CN" w:bidi="ar-SA"/>
        </w:rPr>
      </w:pPr>
      <w:r>
        <w:rPr>
          <w:rFonts w:hint="eastAsia" w:ascii="宋体" w:hAnsi="Arial" w:cs="Arial"/>
          <w:snapToGrid w:val="0"/>
          <w:kern w:val="2"/>
          <w:sz w:val="24"/>
          <w:szCs w:val="21"/>
          <w:lang w:val="en-US" w:eastAsia="zh-CN" w:bidi="ar-SA"/>
        </w:rPr>
        <w:t>2.</w:t>
      </w:r>
      <w:r>
        <w:rPr>
          <w:rFonts w:hint="eastAsia" w:ascii="宋体" w:hAnsi="Arial" w:cs="Arial" w:eastAsiaTheme="minorEastAsia"/>
          <w:snapToGrid w:val="0"/>
          <w:kern w:val="2"/>
          <w:sz w:val="24"/>
          <w:szCs w:val="21"/>
          <w:lang w:val="en-US" w:eastAsia="zh-CN" w:bidi="ar-SA"/>
        </w:rPr>
        <w:t xml:space="preserve">服务范围：核准经营范围HW49其他废物废包装（铁桶），废物代码900-041-49，进行处置方式含收集、贮存、利用; </w:t>
      </w:r>
    </w:p>
    <w:p>
      <w:pPr>
        <w:adjustRightInd w:val="0"/>
        <w:snapToGrid w:val="0"/>
        <w:spacing w:line="360" w:lineRule="auto"/>
        <w:ind w:firstLine="480" w:firstLineChars="200"/>
        <w:rPr>
          <w:rFonts w:hint="eastAsia" w:ascii="宋体" w:hAnsi="Arial" w:cs="Arial" w:eastAsiaTheme="minorEastAsia"/>
          <w:snapToGrid w:val="0"/>
          <w:kern w:val="2"/>
          <w:sz w:val="24"/>
          <w:szCs w:val="21"/>
          <w:lang w:val="en-US" w:eastAsia="zh-CN" w:bidi="ar-SA"/>
        </w:rPr>
      </w:pPr>
      <w:r>
        <w:rPr>
          <w:rFonts w:hint="eastAsia" w:ascii="宋体" w:hAnsi="Arial" w:cs="Arial"/>
          <w:snapToGrid w:val="0"/>
          <w:kern w:val="2"/>
          <w:sz w:val="24"/>
          <w:szCs w:val="21"/>
          <w:lang w:val="en-US" w:eastAsia="zh-CN" w:bidi="ar-SA"/>
        </w:rPr>
        <w:t>3.</w:t>
      </w:r>
      <w:r>
        <w:rPr>
          <w:rFonts w:hint="eastAsia" w:ascii="宋体" w:hAnsi="Arial" w:cs="Arial" w:eastAsiaTheme="minorEastAsia"/>
          <w:snapToGrid w:val="0"/>
          <w:kern w:val="2"/>
          <w:sz w:val="24"/>
          <w:szCs w:val="21"/>
          <w:lang w:val="en-US" w:eastAsia="zh-CN" w:bidi="ar-SA"/>
        </w:rPr>
        <w:t>数量：年产生废油桶（ 900-041-49）约</w:t>
      </w:r>
      <w:r>
        <w:rPr>
          <w:rFonts w:hint="eastAsia" w:ascii="宋体" w:hAnsi="Arial" w:cs="Arial"/>
          <w:snapToGrid w:val="0"/>
          <w:kern w:val="2"/>
          <w:sz w:val="24"/>
          <w:szCs w:val="21"/>
          <w:lang w:val="en-US" w:eastAsia="zh-CN" w:bidi="ar-SA"/>
        </w:rPr>
        <w:t>150</w:t>
      </w:r>
      <w:r>
        <w:rPr>
          <w:rFonts w:hint="eastAsia" w:ascii="宋体" w:hAnsi="Arial" w:cs="Arial" w:eastAsiaTheme="minorEastAsia"/>
          <w:snapToGrid w:val="0"/>
          <w:kern w:val="2"/>
          <w:sz w:val="24"/>
          <w:szCs w:val="21"/>
          <w:lang w:val="en-US" w:eastAsia="zh-CN" w:bidi="ar-SA"/>
        </w:rPr>
        <w:t>吨。</w:t>
      </w:r>
    </w:p>
    <w:p>
      <w:pPr>
        <w:pStyle w:val="7"/>
        <w:ind w:firstLine="480" w:firstLineChars="200"/>
        <w:rPr>
          <w:rFonts w:hint="eastAsia" w:cs="仿宋" w:asciiTheme="minorEastAsia" w:hAnsiTheme="minorEastAsia"/>
          <w:kern w:val="0"/>
          <w:lang w:val="en-US"/>
        </w:rPr>
      </w:pPr>
      <w:r>
        <w:rPr>
          <w:rFonts w:hint="eastAsia" w:cs="仿宋" w:asciiTheme="minorEastAsia" w:hAnsiTheme="minorEastAsia"/>
          <w:kern w:val="0"/>
        </w:rPr>
        <w:t>▲</w:t>
      </w:r>
      <w:r>
        <w:rPr>
          <w:rFonts w:hint="eastAsia" w:cs="仿宋" w:asciiTheme="minorEastAsia" w:hAnsiTheme="minorEastAsia"/>
          <w:kern w:val="0"/>
          <w:lang w:val="en-US"/>
        </w:rPr>
        <w:t>二、合同期限及履约方式</w:t>
      </w:r>
    </w:p>
    <w:p>
      <w:pPr>
        <w:pStyle w:val="7"/>
        <w:ind w:firstLine="480" w:firstLineChars="200"/>
        <w:rPr>
          <w:rFonts w:hint="eastAsia"/>
          <w:highlight w:val="none"/>
          <w:lang w:val="en-US"/>
        </w:rPr>
      </w:pPr>
      <w:r>
        <w:rPr>
          <w:rFonts w:hint="eastAsia"/>
          <w:highlight w:val="none"/>
          <w:lang w:val="en-US"/>
        </w:rPr>
        <w:t>1.合同期限：</w:t>
      </w:r>
      <w:r>
        <w:rPr>
          <w:rFonts w:hint="eastAsia"/>
          <w:highlight w:val="none"/>
          <w:lang w:val="en-US" w:eastAsia="zh-CN"/>
        </w:rPr>
        <w:t>1年</w:t>
      </w:r>
      <w:r>
        <w:rPr>
          <w:rFonts w:hint="eastAsia"/>
          <w:highlight w:val="none"/>
          <w:lang w:val="en-US"/>
        </w:rPr>
        <w:t>；</w:t>
      </w:r>
    </w:p>
    <w:p>
      <w:pPr>
        <w:pStyle w:val="7"/>
        <w:ind w:firstLine="480" w:firstLineChars="200"/>
        <w:rPr>
          <w:rFonts w:hint="eastAsia" w:ascii="宋体"/>
          <w:highlight w:val="none"/>
          <w:lang w:val="en-US" w:eastAsia="zh-CN"/>
        </w:rPr>
      </w:pPr>
      <w:r>
        <w:rPr>
          <w:rFonts w:hint="eastAsia" w:ascii="宋体"/>
          <w:highlight w:val="none"/>
          <w:lang w:val="en-US" w:eastAsia="zh-CN"/>
        </w:rPr>
        <w:t>2.履约方式：合同签订后，根据采购人通知要求，在三天内及时收运铁桶，并保质保量地完成处置任务；</w:t>
      </w:r>
    </w:p>
    <w:p>
      <w:pPr>
        <w:pStyle w:val="7"/>
        <w:ind w:firstLine="480" w:firstLineChars="200"/>
        <w:rPr>
          <w:rFonts w:hint="default" w:cs="仿宋" w:asciiTheme="minorEastAsia" w:hAnsiTheme="minorEastAsia" w:eastAsiaTheme="minorEastAsia"/>
          <w:kern w:val="0"/>
          <w:lang w:val="en-US" w:eastAsia="zh-CN"/>
        </w:rPr>
      </w:pPr>
      <w:r>
        <w:rPr>
          <w:rFonts w:hint="eastAsia" w:cs="仿宋" w:asciiTheme="minorEastAsia" w:hAnsiTheme="minorEastAsia"/>
          <w:kern w:val="0"/>
          <w:lang w:val="en-US" w:eastAsia="zh-CN"/>
        </w:rPr>
        <w:t>3.地址：</w:t>
      </w:r>
      <w:r>
        <w:rPr>
          <w:rFonts w:hint="eastAsia" w:ascii="宋体"/>
          <w:highlight w:val="none"/>
          <w:lang w:val="en-US" w:eastAsia="zh-CN"/>
        </w:rPr>
        <w:t>杭州临江环境能源有限公司 浙江省杭州市钱塘区临江街道红十五路10388-123号</w:t>
      </w:r>
    </w:p>
    <w:p>
      <w:pPr>
        <w:pStyle w:val="7"/>
        <w:ind w:firstLine="480" w:firstLineChars="200"/>
        <w:rPr>
          <w:rFonts w:hint="default" w:eastAsiaTheme="minorEastAsia"/>
          <w:b/>
          <w:bCs/>
          <w:lang w:val="en-US" w:eastAsia="zh-CN"/>
        </w:rPr>
      </w:pPr>
      <w:r>
        <w:rPr>
          <w:rFonts w:hint="eastAsia" w:cs="仿宋" w:asciiTheme="minorEastAsia" w:hAnsiTheme="minorEastAsia"/>
          <w:kern w:val="0"/>
        </w:rPr>
        <w:t>▲</w:t>
      </w:r>
      <w:r>
        <w:rPr>
          <w:rFonts w:hint="eastAsia"/>
          <w:b/>
          <w:bCs/>
          <w:lang w:val="en-US"/>
        </w:rPr>
        <w:t>三、</w:t>
      </w:r>
      <w:r>
        <w:rPr>
          <w:rFonts w:hint="eastAsia"/>
          <w:b/>
          <w:bCs/>
          <w:lang w:val="en-US" w:eastAsia="zh-CN"/>
        </w:rPr>
        <w:t>处置要求</w:t>
      </w:r>
    </w:p>
    <w:p>
      <w:pPr>
        <w:pStyle w:val="7"/>
        <w:ind w:firstLine="480" w:firstLineChars="200"/>
        <w:rPr>
          <w:rFonts w:hint="eastAsia" w:ascii="宋体"/>
          <w:highlight w:val="none"/>
          <w:lang w:val="en-US" w:eastAsia="zh-CN"/>
        </w:rPr>
      </w:pPr>
      <w:r>
        <w:rPr>
          <w:rFonts w:hint="eastAsia" w:ascii="宋体"/>
          <w:highlight w:val="none"/>
          <w:lang w:val="en-US" w:eastAsia="zh-CN"/>
        </w:rPr>
        <w:t>1.废油桶内残留废物的含量由采购人与中标人共同确定；</w:t>
      </w:r>
    </w:p>
    <w:p>
      <w:pPr>
        <w:pStyle w:val="7"/>
        <w:ind w:firstLine="480" w:firstLineChars="200"/>
        <w:rPr>
          <w:rFonts w:hint="eastAsia" w:ascii="宋体"/>
          <w:highlight w:val="none"/>
          <w:lang w:val="en-US" w:eastAsia="zh-CN"/>
        </w:rPr>
      </w:pPr>
      <w:r>
        <w:rPr>
          <w:rFonts w:hint="eastAsia" w:ascii="宋体"/>
          <w:highlight w:val="none"/>
          <w:lang w:val="en-US" w:eastAsia="zh-CN"/>
        </w:rPr>
        <w:t>2.中标人应自行委托危废运输车辆对其进行装运；</w:t>
      </w:r>
    </w:p>
    <w:p>
      <w:pPr>
        <w:pStyle w:val="7"/>
        <w:ind w:firstLine="480" w:firstLineChars="200"/>
        <w:rPr>
          <w:rFonts w:hint="eastAsia" w:ascii="宋体"/>
          <w:highlight w:val="none"/>
          <w:lang w:val="en-US" w:eastAsia="zh-CN"/>
        </w:rPr>
      </w:pPr>
      <w:r>
        <w:rPr>
          <w:rFonts w:hint="eastAsia" w:ascii="宋体"/>
          <w:highlight w:val="none"/>
          <w:lang w:val="en-US" w:eastAsia="zh-CN"/>
        </w:rPr>
        <w:t>3.在装运时，中标人委托的车辆应根据《中华人民共和国道路运输条例》、《危险化学品安全管理条例》、《道路危险货物运输管理条例》等相关法律法规的要求确保车辆的合规性；车辆必须悬挂危险车辆标识标牌，必须扎盖雨布防止废物抛洒淋湿，车辆不得渗漏、危废标签是否张贴、标签所填内容是否与实际危险废物一致；</w:t>
      </w:r>
    </w:p>
    <w:p>
      <w:pPr>
        <w:pStyle w:val="7"/>
        <w:ind w:firstLine="480" w:firstLineChars="200"/>
        <w:rPr>
          <w:rFonts w:hint="eastAsia" w:ascii="宋体"/>
          <w:highlight w:val="none"/>
          <w:lang w:val="en-US" w:eastAsia="zh-CN"/>
        </w:rPr>
      </w:pPr>
      <w:r>
        <w:rPr>
          <w:rFonts w:hint="eastAsia" w:ascii="宋体"/>
          <w:highlight w:val="none"/>
          <w:lang w:val="en-US" w:eastAsia="zh-CN"/>
        </w:rPr>
        <w:t>4.中标人应及时、如实填写固废监管系统中的转移信息（联单）；</w:t>
      </w:r>
    </w:p>
    <w:p>
      <w:pPr>
        <w:pStyle w:val="7"/>
        <w:ind w:left="479" w:leftChars="228" w:firstLine="0" w:firstLineChars="0"/>
        <w:rPr>
          <w:rFonts w:hint="eastAsia" w:cs="仿宋" w:asciiTheme="minorEastAsia" w:hAnsiTheme="minorEastAsia"/>
          <w:kern w:val="0"/>
          <w:lang w:val="en-US"/>
        </w:rPr>
      </w:pPr>
      <w:r>
        <w:rPr>
          <w:rFonts w:hint="eastAsia" w:ascii="宋体"/>
          <w:highlight w:val="none"/>
          <w:lang w:val="en-US" w:eastAsia="zh-CN"/>
        </w:rPr>
        <w:t>5.中标人委托的危险废物运输车辆进入产废单位和处置单位厂区后，应服从管理。</w:t>
      </w:r>
      <w:r>
        <w:rPr>
          <w:rFonts w:hint="eastAsia" w:cs="仿宋" w:asciiTheme="minorEastAsia" w:hAnsiTheme="minorEastAsia"/>
          <w:kern w:val="0"/>
        </w:rPr>
        <w:t>▲</w:t>
      </w:r>
      <w:r>
        <w:rPr>
          <w:rFonts w:hint="eastAsia" w:cs="仿宋" w:asciiTheme="minorEastAsia" w:hAnsiTheme="minorEastAsia"/>
          <w:kern w:val="0"/>
          <w:lang w:val="en-US"/>
        </w:rPr>
        <w:t>四、验收方式</w:t>
      </w:r>
    </w:p>
    <w:p>
      <w:pPr>
        <w:pStyle w:val="7"/>
        <w:ind w:firstLine="480" w:firstLineChars="200"/>
        <w:rPr>
          <w:rFonts w:hint="eastAsia" w:ascii="宋体"/>
          <w:highlight w:val="none"/>
          <w:lang w:val="en-US" w:eastAsia="zh-CN"/>
        </w:rPr>
      </w:pPr>
      <w:r>
        <w:rPr>
          <w:rFonts w:hint="eastAsia" w:ascii="宋体"/>
          <w:highlight w:val="none"/>
          <w:lang w:val="en-US" w:eastAsia="zh-CN"/>
        </w:rPr>
        <w:t>1.废油桶的计重：在采购人现场过磅（秤），由双方当场签字确认。中标人未当场签字确认或未书面提出异议的，视为认可采购人现场过磅（秤）数据。</w:t>
      </w:r>
    </w:p>
    <w:p>
      <w:pPr>
        <w:pStyle w:val="7"/>
        <w:ind w:firstLine="480" w:firstLineChars="200"/>
        <w:rPr>
          <w:rFonts w:hint="eastAsia" w:ascii="宋体"/>
          <w:highlight w:val="none"/>
          <w:lang w:val="en-US" w:eastAsia="zh-CN"/>
        </w:rPr>
      </w:pPr>
      <w:r>
        <w:rPr>
          <w:rFonts w:hint="eastAsia" w:ascii="宋体"/>
          <w:highlight w:val="none"/>
          <w:lang w:val="en-US" w:eastAsia="zh-CN"/>
        </w:rPr>
        <w:t>2.废油桶的联单管理：双方交接废物时，必须按当地环保部门相关要求认真填写《危险废物转移联单》内的各项内容。《危险废物转移联单》是作为合同双方核对铁桶类危险废物种类、数量以及收费的凭证。</w:t>
      </w:r>
    </w:p>
    <w:p>
      <w:pPr>
        <w:pStyle w:val="7"/>
        <w:ind w:firstLine="480" w:firstLineChars="200"/>
        <w:rPr>
          <w:b/>
          <w:bCs/>
          <w:lang w:val="en-US"/>
        </w:rPr>
      </w:pPr>
      <w:r>
        <w:rPr>
          <w:rFonts w:hint="eastAsia" w:cs="仿宋" w:asciiTheme="minorEastAsia" w:hAnsiTheme="minorEastAsia"/>
          <w:kern w:val="0"/>
        </w:rPr>
        <w:t>▲</w:t>
      </w:r>
      <w:r>
        <w:rPr>
          <w:rFonts w:hint="eastAsia"/>
          <w:b/>
          <w:bCs/>
          <w:lang w:val="en-US"/>
        </w:rPr>
        <w:t>六、结算方式</w:t>
      </w:r>
    </w:p>
    <w:p>
      <w:pPr>
        <w:pStyle w:val="15"/>
        <w:ind w:firstLine="480" w:firstLineChars="200"/>
        <w:rPr>
          <w:lang w:val="en-US"/>
        </w:rPr>
      </w:pPr>
      <w:r>
        <w:rPr>
          <w:rFonts w:hint="eastAsia"/>
          <w:lang w:val="en-US"/>
        </w:rPr>
        <w:t>以本询价采购文件中的合同条款为准。</w:t>
      </w:r>
    </w:p>
    <w:p>
      <w:pPr>
        <w:spacing w:line="460" w:lineRule="exact"/>
        <w:jc w:val="center"/>
        <w:rPr>
          <w:rFonts w:hint="eastAsia" w:cs="仿宋" w:asciiTheme="minorEastAsia" w:hAnsiTheme="minorEastAsia"/>
          <w:b/>
          <w:sz w:val="36"/>
          <w:szCs w:val="36"/>
        </w:rPr>
      </w:pPr>
    </w:p>
    <w:p>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08067"/>
      <w:bookmarkEnd w:id="19"/>
      <w:bookmarkStart w:id="20" w:name="_Toc184313281"/>
      <w:bookmarkEnd w:id="20"/>
      <w:bookmarkStart w:id="21" w:name="_Toc184310293"/>
      <w:bookmarkEnd w:id="21"/>
      <w:bookmarkStart w:id="22" w:name="_Toc184310342"/>
      <w:bookmarkEnd w:id="22"/>
      <w:bookmarkStart w:id="23" w:name="_Toc184310324"/>
      <w:bookmarkEnd w:id="23"/>
      <w:bookmarkStart w:id="24" w:name="_Toc184312094"/>
      <w:bookmarkEnd w:id="24"/>
      <w:bookmarkStart w:id="25" w:name="_Toc184313286"/>
      <w:bookmarkEnd w:id="25"/>
      <w:bookmarkStart w:id="26" w:name="_Toc184308081"/>
      <w:bookmarkEnd w:id="26"/>
      <w:bookmarkStart w:id="27" w:name="_Toc184314445"/>
      <w:bookmarkEnd w:id="27"/>
      <w:bookmarkStart w:id="28" w:name="_Toc184308050"/>
      <w:bookmarkEnd w:id="28"/>
      <w:bookmarkStart w:id="29" w:name="_Toc184312129"/>
      <w:bookmarkEnd w:id="29"/>
      <w:bookmarkStart w:id="30" w:name="_Toc184312128"/>
      <w:bookmarkEnd w:id="30"/>
      <w:bookmarkStart w:id="31" w:name="_Toc184314420"/>
      <w:bookmarkEnd w:id="31"/>
      <w:bookmarkStart w:id="32" w:name="_Toc184312102"/>
      <w:bookmarkEnd w:id="32"/>
      <w:bookmarkStart w:id="33" w:name="_Toc184314452"/>
      <w:bookmarkEnd w:id="33"/>
      <w:bookmarkStart w:id="34" w:name="_Toc184310280"/>
      <w:bookmarkEnd w:id="34"/>
      <w:bookmarkStart w:id="35" w:name="_Toc184312099"/>
      <w:bookmarkEnd w:id="35"/>
      <w:bookmarkStart w:id="36" w:name="_Toc184308069"/>
      <w:bookmarkEnd w:id="36"/>
      <w:bookmarkStart w:id="37" w:name="_Toc184313304"/>
      <w:bookmarkEnd w:id="37"/>
      <w:bookmarkStart w:id="38" w:name="_Toc184313294"/>
      <w:bookmarkEnd w:id="38"/>
      <w:bookmarkStart w:id="39" w:name="_Toc184314416"/>
      <w:bookmarkEnd w:id="39"/>
      <w:bookmarkStart w:id="40" w:name="_Toc184310301"/>
      <w:bookmarkEnd w:id="40"/>
      <w:bookmarkStart w:id="41" w:name="_Toc184313295"/>
      <w:bookmarkEnd w:id="41"/>
      <w:bookmarkStart w:id="42" w:name="_Toc184308091"/>
      <w:bookmarkEnd w:id="42"/>
      <w:bookmarkStart w:id="43" w:name="_Toc184314434"/>
      <w:bookmarkEnd w:id="43"/>
      <w:bookmarkStart w:id="44" w:name="_Toc184310318"/>
      <w:bookmarkEnd w:id="44"/>
      <w:bookmarkStart w:id="45" w:name="_Toc184312122"/>
      <w:bookmarkEnd w:id="45"/>
      <w:bookmarkStart w:id="46" w:name="_Toc184308036"/>
      <w:bookmarkEnd w:id="46"/>
      <w:bookmarkStart w:id="47" w:name="_Toc184314450"/>
      <w:bookmarkEnd w:id="47"/>
      <w:bookmarkStart w:id="48" w:name="_Toc184314443"/>
      <w:bookmarkEnd w:id="48"/>
      <w:bookmarkStart w:id="49" w:name="_Toc184308061"/>
      <w:bookmarkEnd w:id="49"/>
      <w:bookmarkStart w:id="50" w:name="_Toc184314428"/>
      <w:bookmarkEnd w:id="50"/>
      <w:bookmarkStart w:id="51" w:name="_Toc184312126"/>
      <w:bookmarkEnd w:id="51"/>
      <w:bookmarkStart w:id="52" w:name="_Toc184314430"/>
      <w:bookmarkEnd w:id="52"/>
      <w:bookmarkStart w:id="53" w:name="_Toc184313247"/>
      <w:bookmarkEnd w:id="53"/>
      <w:bookmarkStart w:id="54" w:name="_Toc184312087"/>
      <w:bookmarkEnd w:id="54"/>
      <w:bookmarkStart w:id="55" w:name="_Toc184312074"/>
      <w:bookmarkEnd w:id="55"/>
      <w:bookmarkStart w:id="56" w:name="_Toc184310294"/>
      <w:bookmarkEnd w:id="56"/>
      <w:bookmarkStart w:id="57" w:name="_Toc184308083"/>
      <w:bookmarkEnd w:id="57"/>
      <w:bookmarkStart w:id="58" w:name="_Toc184310320"/>
      <w:bookmarkEnd w:id="58"/>
      <w:bookmarkStart w:id="59" w:name="_Toc184313292"/>
      <w:bookmarkEnd w:id="59"/>
      <w:bookmarkStart w:id="60" w:name="_Toc184314429"/>
      <w:bookmarkEnd w:id="60"/>
      <w:bookmarkStart w:id="61" w:name="_Toc184313296"/>
      <w:bookmarkEnd w:id="61"/>
      <w:bookmarkStart w:id="62" w:name="_Toc184313300"/>
      <w:bookmarkEnd w:id="62"/>
      <w:bookmarkStart w:id="63" w:name="_Toc184310281"/>
      <w:bookmarkEnd w:id="63"/>
      <w:bookmarkStart w:id="64" w:name="_Toc184310283"/>
      <w:bookmarkEnd w:id="64"/>
      <w:bookmarkStart w:id="65" w:name="_Toc184310311"/>
      <w:bookmarkEnd w:id="65"/>
      <w:bookmarkStart w:id="66" w:name="_Toc184314419"/>
      <w:bookmarkEnd w:id="66"/>
      <w:bookmarkStart w:id="67" w:name="_Toc184314460"/>
      <w:bookmarkEnd w:id="67"/>
      <w:bookmarkStart w:id="68" w:name="_Toc184312124"/>
      <w:bookmarkEnd w:id="68"/>
      <w:bookmarkStart w:id="69" w:name="_Toc184308075"/>
      <w:bookmarkEnd w:id="69"/>
      <w:bookmarkStart w:id="70" w:name="_Toc184310290"/>
      <w:bookmarkEnd w:id="70"/>
      <w:bookmarkStart w:id="71" w:name="_Toc184312088"/>
      <w:bookmarkEnd w:id="71"/>
      <w:bookmarkStart w:id="72" w:name="_Toc184313282"/>
      <w:bookmarkEnd w:id="72"/>
      <w:bookmarkStart w:id="73" w:name="_Toc184314462"/>
      <w:bookmarkEnd w:id="73"/>
      <w:bookmarkStart w:id="74" w:name="_Toc184314477"/>
      <w:bookmarkEnd w:id="74"/>
      <w:bookmarkStart w:id="75" w:name="_Toc184313298"/>
      <w:bookmarkEnd w:id="75"/>
      <w:bookmarkStart w:id="76" w:name="_Toc184310341"/>
      <w:bookmarkEnd w:id="76"/>
      <w:bookmarkStart w:id="77" w:name="_Toc184308079"/>
      <w:bookmarkEnd w:id="77"/>
      <w:bookmarkStart w:id="78" w:name="_Toc184314437"/>
      <w:bookmarkEnd w:id="78"/>
      <w:bookmarkStart w:id="79" w:name="_Toc184310327"/>
      <w:bookmarkEnd w:id="79"/>
      <w:bookmarkStart w:id="80" w:name="_Toc184312071"/>
      <w:bookmarkEnd w:id="80"/>
      <w:bookmarkStart w:id="81" w:name="_Toc184314457"/>
      <w:bookmarkEnd w:id="81"/>
      <w:bookmarkStart w:id="82" w:name="_Toc184312103"/>
      <w:bookmarkEnd w:id="82"/>
      <w:bookmarkStart w:id="83" w:name="_Toc184312133"/>
      <w:bookmarkEnd w:id="83"/>
      <w:bookmarkStart w:id="84" w:name="_Toc184312105"/>
      <w:bookmarkEnd w:id="84"/>
      <w:bookmarkStart w:id="85" w:name="_Toc184308080"/>
      <w:bookmarkEnd w:id="85"/>
      <w:bookmarkStart w:id="86" w:name="_Toc184314425"/>
      <w:bookmarkEnd w:id="86"/>
      <w:bookmarkStart w:id="87" w:name="_Toc184314415"/>
      <w:bookmarkEnd w:id="87"/>
      <w:bookmarkStart w:id="88" w:name="_Toc184312081"/>
      <w:bookmarkEnd w:id="88"/>
      <w:bookmarkStart w:id="89" w:name="_Toc184312134"/>
      <w:bookmarkEnd w:id="89"/>
      <w:bookmarkStart w:id="90" w:name="_Toc184308088"/>
      <w:bookmarkEnd w:id="90"/>
      <w:bookmarkStart w:id="91" w:name="_Toc184310296"/>
      <w:bookmarkEnd w:id="91"/>
      <w:bookmarkStart w:id="92" w:name="_Toc184310319"/>
      <w:bookmarkEnd w:id="92"/>
      <w:bookmarkStart w:id="93" w:name="_Toc184312112"/>
      <w:bookmarkEnd w:id="93"/>
      <w:bookmarkStart w:id="94" w:name="_Toc184314463"/>
      <w:bookmarkEnd w:id="94"/>
      <w:bookmarkStart w:id="95" w:name="_Toc184308042"/>
      <w:bookmarkEnd w:id="95"/>
      <w:bookmarkStart w:id="96" w:name="_Toc184312115"/>
      <w:bookmarkEnd w:id="96"/>
      <w:bookmarkStart w:id="97" w:name="_Toc184313287"/>
      <w:bookmarkEnd w:id="97"/>
      <w:bookmarkStart w:id="98" w:name="_Toc184308055"/>
      <w:bookmarkEnd w:id="98"/>
      <w:bookmarkStart w:id="99" w:name="_Toc184312110"/>
      <w:bookmarkEnd w:id="99"/>
      <w:bookmarkStart w:id="100" w:name="_Toc184310317"/>
      <w:bookmarkEnd w:id="100"/>
      <w:bookmarkStart w:id="101" w:name="_Toc184312076"/>
      <w:bookmarkEnd w:id="101"/>
      <w:bookmarkStart w:id="102" w:name="_Toc184312104"/>
      <w:bookmarkEnd w:id="102"/>
      <w:bookmarkStart w:id="103" w:name="_Toc184314424"/>
      <w:bookmarkEnd w:id="103"/>
      <w:bookmarkStart w:id="104" w:name="_Toc184313293"/>
      <w:bookmarkEnd w:id="104"/>
      <w:bookmarkStart w:id="105" w:name="_Toc184308084"/>
      <w:bookmarkEnd w:id="105"/>
      <w:bookmarkStart w:id="106" w:name="_Toc184313310"/>
      <w:bookmarkEnd w:id="106"/>
      <w:bookmarkStart w:id="107" w:name="_Toc184308066"/>
      <w:bookmarkEnd w:id="107"/>
      <w:bookmarkStart w:id="108" w:name="_Toc184310330"/>
      <w:bookmarkEnd w:id="108"/>
      <w:bookmarkStart w:id="109" w:name="_Toc184313274"/>
      <w:bookmarkEnd w:id="109"/>
      <w:bookmarkStart w:id="110" w:name="_Toc184314446"/>
      <w:bookmarkEnd w:id="110"/>
      <w:bookmarkStart w:id="111" w:name="_Toc184312111"/>
      <w:bookmarkEnd w:id="111"/>
      <w:bookmarkStart w:id="112" w:name="_Toc184314467"/>
      <w:bookmarkEnd w:id="112"/>
      <w:bookmarkStart w:id="113" w:name="_Toc184312079"/>
      <w:bookmarkEnd w:id="113"/>
      <w:bookmarkStart w:id="114" w:name="_Toc184312069"/>
      <w:bookmarkEnd w:id="114"/>
      <w:bookmarkStart w:id="115" w:name="_Toc184312070"/>
      <w:bookmarkEnd w:id="115"/>
      <w:bookmarkStart w:id="116" w:name="_Toc184314479"/>
      <w:bookmarkEnd w:id="116"/>
      <w:bookmarkStart w:id="117" w:name="_Toc184310332"/>
      <w:bookmarkEnd w:id="117"/>
      <w:bookmarkStart w:id="118" w:name="_Toc184308037"/>
      <w:bookmarkEnd w:id="118"/>
      <w:bookmarkStart w:id="119" w:name="_Toc184310329"/>
      <w:bookmarkEnd w:id="119"/>
      <w:bookmarkStart w:id="120" w:name="_Toc184310277"/>
      <w:bookmarkEnd w:id="120"/>
      <w:bookmarkStart w:id="121" w:name="_Toc184313307"/>
      <w:bookmarkEnd w:id="121"/>
      <w:bookmarkStart w:id="122" w:name="_Toc184314438"/>
      <w:bookmarkEnd w:id="122"/>
      <w:bookmarkStart w:id="123" w:name="_Toc184312085"/>
      <w:bookmarkEnd w:id="123"/>
      <w:bookmarkStart w:id="124" w:name="_Toc184312089"/>
      <w:bookmarkEnd w:id="124"/>
      <w:bookmarkStart w:id="125" w:name="_Toc184314435"/>
      <w:bookmarkEnd w:id="125"/>
      <w:bookmarkStart w:id="126" w:name="_Toc184313299"/>
      <w:bookmarkEnd w:id="126"/>
      <w:bookmarkStart w:id="127" w:name="_Toc184313280"/>
      <w:bookmarkEnd w:id="127"/>
      <w:bookmarkStart w:id="128" w:name="_Toc184312101"/>
      <w:bookmarkEnd w:id="128"/>
      <w:bookmarkStart w:id="129" w:name="_Toc184312117"/>
      <w:bookmarkEnd w:id="129"/>
      <w:bookmarkStart w:id="130" w:name="_Toc184308044"/>
      <w:bookmarkEnd w:id="130"/>
      <w:bookmarkStart w:id="131" w:name="_Toc184314427"/>
      <w:bookmarkEnd w:id="131"/>
      <w:bookmarkStart w:id="132" w:name="_Toc184313285"/>
      <w:bookmarkEnd w:id="132"/>
      <w:bookmarkStart w:id="133" w:name="_Toc184308097"/>
      <w:bookmarkEnd w:id="133"/>
      <w:bookmarkStart w:id="134" w:name="_Toc184312121"/>
      <w:bookmarkEnd w:id="134"/>
      <w:bookmarkStart w:id="135" w:name="_Toc184310282"/>
      <w:bookmarkEnd w:id="135"/>
      <w:bookmarkStart w:id="136" w:name="_Toc184308090"/>
      <w:bookmarkEnd w:id="136"/>
      <w:bookmarkStart w:id="137" w:name="_Toc184313249"/>
      <w:bookmarkEnd w:id="137"/>
      <w:bookmarkStart w:id="138" w:name="_Toc184313239"/>
      <w:bookmarkEnd w:id="138"/>
      <w:bookmarkStart w:id="139" w:name="_Toc184312108"/>
      <w:bookmarkEnd w:id="139"/>
      <w:bookmarkStart w:id="140" w:name="_Toc184312075"/>
      <w:bookmarkEnd w:id="140"/>
      <w:bookmarkStart w:id="141" w:name="_Toc184314423"/>
      <w:bookmarkEnd w:id="141"/>
      <w:bookmarkStart w:id="142" w:name="_Toc184310297"/>
      <w:bookmarkEnd w:id="142"/>
      <w:bookmarkStart w:id="143" w:name="_Toc184308076"/>
      <w:bookmarkEnd w:id="143"/>
      <w:bookmarkStart w:id="144" w:name="_Toc184310333"/>
      <w:bookmarkEnd w:id="144"/>
      <w:bookmarkStart w:id="145" w:name="_Toc184314449"/>
      <w:bookmarkEnd w:id="145"/>
      <w:bookmarkStart w:id="146" w:name="_Toc184308087"/>
      <w:bookmarkEnd w:id="146"/>
      <w:bookmarkStart w:id="147" w:name="_Toc184314466"/>
      <w:bookmarkEnd w:id="147"/>
      <w:bookmarkStart w:id="148" w:name="_Toc184310285"/>
      <w:bookmarkEnd w:id="148"/>
      <w:bookmarkStart w:id="149" w:name="_Toc184312090"/>
      <w:bookmarkEnd w:id="149"/>
      <w:bookmarkStart w:id="150" w:name="_Toc184314456"/>
      <w:bookmarkEnd w:id="150"/>
      <w:bookmarkStart w:id="151" w:name="_Toc184310298"/>
      <w:bookmarkEnd w:id="151"/>
      <w:bookmarkStart w:id="152" w:name="_Toc184310286"/>
      <w:bookmarkEnd w:id="152"/>
      <w:bookmarkStart w:id="153" w:name="_Toc184308096"/>
      <w:bookmarkEnd w:id="153"/>
      <w:bookmarkStart w:id="154" w:name="_Toc184314442"/>
      <w:bookmarkEnd w:id="154"/>
      <w:bookmarkStart w:id="155" w:name="_Toc184312106"/>
      <w:bookmarkEnd w:id="155"/>
      <w:bookmarkStart w:id="156" w:name="_Toc184313262"/>
      <w:bookmarkEnd w:id="156"/>
      <w:bookmarkStart w:id="157" w:name="_Toc184308057"/>
      <w:bookmarkEnd w:id="157"/>
      <w:bookmarkStart w:id="158" w:name="_Toc184314471"/>
      <w:bookmarkEnd w:id="158"/>
      <w:bookmarkStart w:id="159" w:name="_Toc184314470"/>
      <w:bookmarkEnd w:id="159"/>
      <w:bookmarkStart w:id="160" w:name="_Toc184314448"/>
      <w:bookmarkEnd w:id="160"/>
      <w:bookmarkStart w:id="161" w:name="_Toc184314453"/>
      <w:bookmarkEnd w:id="161"/>
      <w:bookmarkStart w:id="162" w:name="_Toc184314468"/>
      <w:bookmarkEnd w:id="162"/>
      <w:bookmarkStart w:id="163" w:name="_Toc184308094"/>
      <w:bookmarkEnd w:id="163"/>
      <w:bookmarkStart w:id="164" w:name="_Toc184308089"/>
      <w:bookmarkEnd w:id="164"/>
      <w:bookmarkStart w:id="165" w:name="_Toc184312127"/>
      <w:bookmarkEnd w:id="165"/>
      <w:bookmarkStart w:id="166" w:name="_Toc184312138"/>
      <w:bookmarkEnd w:id="166"/>
      <w:bookmarkStart w:id="167" w:name="_Toc184310323"/>
      <w:bookmarkEnd w:id="167"/>
      <w:bookmarkStart w:id="168" w:name="_Toc184312073"/>
      <w:bookmarkEnd w:id="168"/>
      <w:bookmarkStart w:id="169" w:name="_Toc184310334"/>
      <w:bookmarkEnd w:id="169"/>
      <w:bookmarkStart w:id="170" w:name="_Toc184308047"/>
      <w:bookmarkEnd w:id="170"/>
      <w:bookmarkStart w:id="171" w:name="_Toc184313252"/>
      <w:bookmarkEnd w:id="171"/>
      <w:bookmarkStart w:id="172" w:name="_Toc184308078"/>
      <w:bookmarkEnd w:id="172"/>
      <w:bookmarkStart w:id="173" w:name="_Toc184312097"/>
      <w:bookmarkEnd w:id="173"/>
      <w:bookmarkStart w:id="174" w:name="_Toc184313269"/>
      <w:bookmarkEnd w:id="174"/>
      <w:bookmarkStart w:id="175" w:name="_Toc184313288"/>
      <w:bookmarkEnd w:id="175"/>
      <w:bookmarkStart w:id="176" w:name="_Toc184310328"/>
      <w:bookmarkEnd w:id="176"/>
      <w:bookmarkStart w:id="177" w:name="_Toc184310287"/>
      <w:bookmarkEnd w:id="177"/>
      <w:bookmarkStart w:id="178" w:name="_Toc184312119"/>
      <w:bookmarkEnd w:id="178"/>
      <w:bookmarkStart w:id="179" w:name="_Toc184314441"/>
      <w:bookmarkEnd w:id="179"/>
      <w:bookmarkStart w:id="180" w:name="_Toc184312098"/>
      <w:bookmarkEnd w:id="180"/>
      <w:bookmarkStart w:id="181" w:name="_Toc184313308"/>
      <w:bookmarkEnd w:id="181"/>
      <w:bookmarkStart w:id="182" w:name="_Toc184308106"/>
      <w:bookmarkEnd w:id="182"/>
      <w:bookmarkStart w:id="183" w:name="_Toc184314433"/>
      <w:bookmarkEnd w:id="183"/>
      <w:bookmarkStart w:id="184" w:name="_Toc184310295"/>
      <w:bookmarkEnd w:id="184"/>
      <w:bookmarkStart w:id="185" w:name="_Toc184308073"/>
      <w:bookmarkEnd w:id="185"/>
      <w:bookmarkStart w:id="186" w:name="_Toc184308048"/>
      <w:bookmarkEnd w:id="186"/>
      <w:bookmarkStart w:id="187" w:name="_Toc184308077"/>
      <w:bookmarkEnd w:id="187"/>
      <w:bookmarkStart w:id="188" w:name="_Toc184312120"/>
      <w:bookmarkEnd w:id="188"/>
      <w:bookmarkStart w:id="189" w:name="_Toc184308054"/>
      <w:bookmarkEnd w:id="189"/>
      <w:bookmarkStart w:id="190" w:name="_Toc184312068"/>
      <w:bookmarkEnd w:id="190"/>
      <w:bookmarkStart w:id="191" w:name="_Toc184314417"/>
      <w:bookmarkEnd w:id="191"/>
      <w:bookmarkStart w:id="192" w:name="_Toc184310337"/>
      <w:bookmarkEnd w:id="192"/>
      <w:bookmarkStart w:id="193" w:name="_Toc184312139"/>
      <w:bookmarkEnd w:id="193"/>
      <w:bookmarkStart w:id="194" w:name="_Toc184308040"/>
      <w:bookmarkEnd w:id="194"/>
      <w:bookmarkStart w:id="195" w:name="_Toc184308095"/>
      <w:bookmarkEnd w:id="195"/>
      <w:bookmarkStart w:id="196" w:name="_Toc184308085"/>
      <w:bookmarkEnd w:id="196"/>
      <w:bookmarkStart w:id="197" w:name="_Toc184313302"/>
      <w:bookmarkEnd w:id="197"/>
      <w:bookmarkStart w:id="198" w:name="_Toc184312131"/>
      <w:bookmarkEnd w:id="198"/>
      <w:bookmarkStart w:id="199" w:name="_Toc184312091"/>
      <w:bookmarkEnd w:id="199"/>
      <w:bookmarkStart w:id="200" w:name="_Toc184308039"/>
      <w:bookmarkEnd w:id="200"/>
      <w:bookmarkStart w:id="201" w:name="_Toc184310315"/>
      <w:bookmarkEnd w:id="201"/>
      <w:bookmarkStart w:id="202" w:name="_Toc184313241"/>
      <w:bookmarkEnd w:id="202"/>
      <w:bookmarkStart w:id="203" w:name="_Toc184313263"/>
      <w:bookmarkEnd w:id="203"/>
      <w:bookmarkStart w:id="204" w:name="_Toc184308092"/>
      <w:bookmarkEnd w:id="204"/>
      <w:bookmarkStart w:id="205" w:name="_Toc184310276"/>
      <w:bookmarkEnd w:id="205"/>
      <w:bookmarkStart w:id="206" w:name="_Toc184312137"/>
      <w:bookmarkEnd w:id="206"/>
      <w:bookmarkStart w:id="207" w:name="_Toc184313279"/>
      <w:bookmarkEnd w:id="207"/>
      <w:bookmarkStart w:id="208" w:name="_Toc184310272"/>
      <w:bookmarkEnd w:id="208"/>
      <w:bookmarkStart w:id="209" w:name="_Toc184310312"/>
      <w:bookmarkEnd w:id="209"/>
      <w:bookmarkStart w:id="210" w:name="_Toc184313242"/>
      <w:bookmarkEnd w:id="210"/>
      <w:bookmarkStart w:id="211" w:name="_Toc184313250"/>
      <w:bookmarkEnd w:id="211"/>
      <w:bookmarkStart w:id="212" w:name="_Toc184313245"/>
      <w:bookmarkEnd w:id="212"/>
      <w:bookmarkStart w:id="213" w:name="_Toc184314418"/>
      <w:bookmarkEnd w:id="213"/>
      <w:bookmarkStart w:id="214" w:name="_Toc184313246"/>
      <w:bookmarkEnd w:id="214"/>
      <w:bookmarkStart w:id="215" w:name="_Toc184308105"/>
      <w:bookmarkEnd w:id="215"/>
      <w:bookmarkStart w:id="216" w:name="_Toc184314439"/>
      <w:bookmarkEnd w:id="216"/>
      <w:bookmarkStart w:id="217" w:name="_Toc184310284"/>
      <w:bookmarkEnd w:id="217"/>
      <w:bookmarkStart w:id="218" w:name="_Toc184313309"/>
      <w:bookmarkEnd w:id="218"/>
      <w:bookmarkStart w:id="219" w:name="_Toc184314461"/>
      <w:bookmarkEnd w:id="219"/>
      <w:bookmarkStart w:id="220" w:name="_Toc184313255"/>
      <w:bookmarkEnd w:id="220"/>
      <w:bookmarkStart w:id="221" w:name="_Toc184313260"/>
      <w:bookmarkEnd w:id="221"/>
      <w:bookmarkStart w:id="222" w:name="_Toc184313271"/>
      <w:bookmarkEnd w:id="222"/>
      <w:bookmarkStart w:id="223" w:name="_Toc184312095"/>
      <w:bookmarkEnd w:id="223"/>
      <w:bookmarkStart w:id="224" w:name="_Toc184313243"/>
      <w:bookmarkEnd w:id="224"/>
      <w:bookmarkStart w:id="225" w:name="_Toc184313283"/>
      <w:bookmarkEnd w:id="225"/>
      <w:bookmarkStart w:id="226" w:name="_Toc184313257"/>
      <w:bookmarkEnd w:id="226"/>
      <w:bookmarkStart w:id="227" w:name="_Toc184310278"/>
      <w:bookmarkEnd w:id="227"/>
      <w:bookmarkStart w:id="228" w:name="_Toc184312093"/>
      <w:bookmarkEnd w:id="228"/>
      <w:bookmarkStart w:id="229" w:name="_Toc184310331"/>
      <w:bookmarkEnd w:id="229"/>
      <w:bookmarkStart w:id="230" w:name="_Toc184312109"/>
      <w:bookmarkEnd w:id="230"/>
      <w:bookmarkStart w:id="231" w:name="_Toc184310300"/>
      <w:bookmarkEnd w:id="231"/>
      <w:bookmarkStart w:id="232" w:name="_Toc184310321"/>
      <w:bookmarkEnd w:id="232"/>
      <w:bookmarkStart w:id="233" w:name="_Toc184308064"/>
      <w:bookmarkEnd w:id="233"/>
      <w:bookmarkStart w:id="234" w:name="_Toc184314458"/>
      <w:bookmarkEnd w:id="234"/>
      <w:bookmarkStart w:id="235" w:name="_Toc184310288"/>
      <w:bookmarkEnd w:id="235"/>
      <w:bookmarkStart w:id="236" w:name="_Toc184312125"/>
      <w:bookmarkEnd w:id="236"/>
      <w:bookmarkStart w:id="237" w:name="_Toc184312082"/>
      <w:bookmarkEnd w:id="237"/>
      <w:bookmarkStart w:id="238" w:name="_Toc184314481"/>
      <w:bookmarkEnd w:id="238"/>
      <w:bookmarkStart w:id="239" w:name="_Toc184313290"/>
      <w:bookmarkEnd w:id="239"/>
      <w:bookmarkStart w:id="240" w:name="_Toc184312072"/>
      <w:bookmarkEnd w:id="240"/>
      <w:bookmarkStart w:id="241" w:name="_Toc184313248"/>
      <w:bookmarkEnd w:id="241"/>
      <w:bookmarkStart w:id="242" w:name="_Toc184313240"/>
      <w:bookmarkEnd w:id="242"/>
      <w:bookmarkStart w:id="243" w:name="_Toc184310289"/>
      <w:bookmarkEnd w:id="243"/>
      <w:bookmarkStart w:id="244" w:name="_Toc184313284"/>
      <w:bookmarkEnd w:id="244"/>
      <w:bookmarkStart w:id="245" w:name="_Toc184314465"/>
      <w:bookmarkEnd w:id="245"/>
      <w:bookmarkStart w:id="246" w:name="_Toc184312130"/>
      <w:bookmarkEnd w:id="246"/>
      <w:bookmarkStart w:id="247" w:name="_Toc184312078"/>
      <w:bookmarkEnd w:id="247"/>
      <w:bookmarkStart w:id="248" w:name="_Toc184310303"/>
      <w:bookmarkEnd w:id="248"/>
      <w:bookmarkStart w:id="249" w:name="_Toc184313273"/>
      <w:bookmarkEnd w:id="249"/>
      <w:bookmarkStart w:id="250" w:name="_Toc184312118"/>
      <w:bookmarkEnd w:id="250"/>
      <w:bookmarkStart w:id="251" w:name="_Toc184313264"/>
      <w:bookmarkEnd w:id="251"/>
      <w:bookmarkStart w:id="252" w:name="_Toc184310274"/>
      <w:bookmarkEnd w:id="252"/>
      <w:bookmarkStart w:id="253" w:name="_Toc184310335"/>
      <w:bookmarkEnd w:id="253"/>
      <w:bookmarkStart w:id="254" w:name="_Toc184314454"/>
      <w:bookmarkEnd w:id="254"/>
      <w:bookmarkStart w:id="255" w:name="_Toc184308059"/>
      <w:bookmarkEnd w:id="255"/>
      <w:bookmarkStart w:id="256" w:name="_Toc184313305"/>
      <w:bookmarkEnd w:id="256"/>
      <w:bookmarkStart w:id="257" w:name="_Toc184313244"/>
      <w:bookmarkEnd w:id="257"/>
      <w:bookmarkStart w:id="258" w:name="_Toc184314474"/>
      <w:bookmarkEnd w:id="258"/>
      <w:bookmarkStart w:id="259" w:name="_Toc184308049"/>
      <w:bookmarkEnd w:id="259"/>
      <w:bookmarkStart w:id="260" w:name="_Toc184310314"/>
      <w:bookmarkEnd w:id="260"/>
      <w:bookmarkStart w:id="261" w:name="_Toc184308086"/>
      <w:bookmarkEnd w:id="261"/>
      <w:bookmarkStart w:id="262" w:name="_Toc184313275"/>
      <w:bookmarkEnd w:id="262"/>
      <w:bookmarkStart w:id="263" w:name="_Toc184310316"/>
      <w:bookmarkEnd w:id="263"/>
      <w:bookmarkStart w:id="264" w:name="_Toc184308101"/>
      <w:bookmarkEnd w:id="264"/>
      <w:bookmarkStart w:id="265" w:name="_Toc184314432"/>
      <w:bookmarkEnd w:id="265"/>
      <w:bookmarkStart w:id="266" w:name="_Toc184308043"/>
      <w:bookmarkEnd w:id="266"/>
      <w:bookmarkStart w:id="267" w:name="_Toc184314431"/>
      <w:bookmarkEnd w:id="267"/>
      <w:bookmarkStart w:id="268" w:name="_Toc184314411"/>
      <w:bookmarkEnd w:id="268"/>
      <w:bookmarkStart w:id="269" w:name="_Toc184308070"/>
      <w:bookmarkEnd w:id="269"/>
      <w:bookmarkStart w:id="270" w:name="_Toc184312077"/>
      <w:bookmarkEnd w:id="270"/>
      <w:bookmarkStart w:id="271" w:name="_Toc184314414"/>
      <w:bookmarkEnd w:id="271"/>
      <w:bookmarkStart w:id="272" w:name="_Toc184314440"/>
      <w:bookmarkEnd w:id="272"/>
      <w:bookmarkStart w:id="273" w:name="_Toc184308065"/>
      <w:bookmarkEnd w:id="273"/>
      <w:bookmarkStart w:id="274" w:name="_Toc184313267"/>
      <w:bookmarkEnd w:id="274"/>
      <w:bookmarkStart w:id="275" w:name="_Toc184312067"/>
      <w:bookmarkEnd w:id="275"/>
      <w:bookmarkStart w:id="276" w:name="_Toc184312083"/>
      <w:bookmarkEnd w:id="276"/>
      <w:bookmarkStart w:id="277" w:name="_Toc184310307"/>
      <w:bookmarkEnd w:id="277"/>
      <w:bookmarkStart w:id="278" w:name="_Toc184313272"/>
      <w:bookmarkEnd w:id="278"/>
      <w:bookmarkStart w:id="279" w:name="_Toc184314412"/>
      <w:bookmarkEnd w:id="279"/>
      <w:bookmarkStart w:id="280" w:name="_Toc184308056"/>
      <w:bookmarkEnd w:id="280"/>
      <w:bookmarkStart w:id="281" w:name="_Toc184314421"/>
      <w:bookmarkEnd w:id="281"/>
      <w:bookmarkStart w:id="282" w:name="_Toc184310313"/>
      <w:bookmarkEnd w:id="282"/>
      <w:bookmarkStart w:id="283" w:name="_Toc184310305"/>
      <w:bookmarkEnd w:id="283"/>
      <w:bookmarkStart w:id="284" w:name="_Toc184310302"/>
      <w:bookmarkEnd w:id="284"/>
      <w:bookmarkStart w:id="285" w:name="_Toc184308099"/>
      <w:bookmarkEnd w:id="285"/>
      <w:bookmarkStart w:id="286" w:name="_Toc184308052"/>
      <w:bookmarkEnd w:id="286"/>
      <w:bookmarkStart w:id="287" w:name="_Toc184312080"/>
      <w:bookmarkEnd w:id="287"/>
      <w:bookmarkStart w:id="288" w:name="_Toc184312086"/>
      <w:bookmarkEnd w:id="288"/>
      <w:bookmarkStart w:id="289" w:name="_Toc184314480"/>
      <w:bookmarkEnd w:id="289"/>
      <w:bookmarkStart w:id="290" w:name="_Toc184308093"/>
      <w:bookmarkEnd w:id="290"/>
      <w:bookmarkStart w:id="291" w:name="_Toc184310306"/>
      <w:bookmarkEnd w:id="291"/>
      <w:bookmarkStart w:id="292" w:name="_Toc184310326"/>
      <w:bookmarkEnd w:id="292"/>
      <w:bookmarkStart w:id="293" w:name="_Toc184308045"/>
      <w:bookmarkEnd w:id="293"/>
      <w:bookmarkStart w:id="294" w:name="_Toc184310309"/>
      <w:bookmarkEnd w:id="294"/>
      <w:bookmarkStart w:id="295" w:name="_Toc184310291"/>
      <w:bookmarkEnd w:id="295"/>
      <w:bookmarkStart w:id="296" w:name="_Toc184314459"/>
      <w:bookmarkEnd w:id="296"/>
      <w:bookmarkStart w:id="297" w:name="_Toc184312135"/>
      <w:bookmarkEnd w:id="297"/>
      <w:bookmarkStart w:id="298" w:name="_Toc184313259"/>
      <w:bookmarkEnd w:id="298"/>
      <w:bookmarkStart w:id="299" w:name="_Toc184308100"/>
      <w:bookmarkEnd w:id="299"/>
      <w:bookmarkStart w:id="300" w:name="_Toc184310308"/>
      <w:bookmarkEnd w:id="300"/>
      <w:bookmarkStart w:id="301" w:name="_Toc184310304"/>
      <w:bookmarkEnd w:id="301"/>
      <w:bookmarkStart w:id="302" w:name="_Toc184308058"/>
      <w:bookmarkEnd w:id="302"/>
      <w:bookmarkStart w:id="303" w:name="_Toc184314473"/>
      <w:bookmarkEnd w:id="303"/>
      <w:bookmarkStart w:id="304" w:name="_Toc184310273"/>
      <w:bookmarkEnd w:id="304"/>
      <w:bookmarkStart w:id="305" w:name="_Toc184308068"/>
      <w:bookmarkEnd w:id="305"/>
      <w:bookmarkStart w:id="306" w:name="_Toc184314451"/>
      <w:bookmarkEnd w:id="306"/>
      <w:bookmarkStart w:id="307" w:name="_Toc184310275"/>
      <w:bookmarkEnd w:id="307"/>
      <w:bookmarkStart w:id="308" w:name="_Toc184312096"/>
      <w:bookmarkEnd w:id="308"/>
      <w:bookmarkStart w:id="309" w:name="_Toc184308107"/>
      <w:bookmarkEnd w:id="309"/>
      <w:bookmarkStart w:id="310" w:name="_Toc184312123"/>
      <w:bookmarkEnd w:id="310"/>
      <w:bookmarkStart w:id="311" w:name="_Toc184308074"/>
      <w:bookmarkEnd w:id="311"/>
      <w:bookmarkStart w:id="312" w:name="_Toc184313256"/>
      <w:bookmarkEnd w:id="312"/>
      <w:bookmarkStart w:id="313" w:name="_Toc184312100"/>
      <w:bookmarkEnd w:id="313"/>
      <w:bookmarkStart w:id="314" w:name="_Toc184312116"/>
      <w:bookmarkEnd w:id="314"/>
      <w:bookmarkStart w:id="315" w:name="_Toc184313306"/>
      <w:bookmarkEnd w:id="315"/>
      <w:bookmarkStart w:id="316" w:name="_Toc184313265"/>
      <w:bookmarkEnd w:id="316"/>
      <w:bookmarkStart w:id="317" w:name="_Toc184308051"/>
      <w:bookmarkEnd w:id="317"/>
      <w:bookmarkStart w:id="318" w:name="_Toc184313278"/>
      <w:bookmarkEnd w:id="318"/>
      <w:bookmarkStart w:id="319" w:name="_Toc184312113"/>
      <w:bookmarkEnd w:id="319"/>
      <w:bookmarkStart w:id="320" w:name="_Toc184313238"/>
      <w:bookmarkEnd w:id="320"/>
      <w:bookmarkStart w:id="321" w:name="_Toc184310322"/>
      <w:bookmarkEnd w:id="321"/>
      <w:bookmarkStart w:id="322" w:name="_Toc184314476"/>
      <w:bookmarkEnd w:id="322"/>
      <w:bookmarkStart w:id="323" w:name="_Toc184313276"/>
      <w:bookmarkEnd w:id="323"/>
      <w:bookmarkStart w:id="324" w:name="_Toc184313253"/>
      <w:bookmarkEnd w:id="324"/>
      <w:bookmarkStart w:id="325" w:name="_Toc184313261"/>
      <w:bookmarkEnd w:id="325"/>
      <w:bookmarkStart w:id="326" w:name="_Toc184308071"/>
      <w:bookmarkEnd w:id="326"/>
      <w:bookmarkStart w:id="327" w:name="_Toc184313270"/>
      <w:bookmarkEnd w:id="327"/>
      <w:bookmarkStart w:id="328" w:name="_Toc184313291"/>
      <w:bookmarkEnd w:id="328"/>
      <w:bookmarkStart w:id="329" w:name="_Toc184310339"/>
      <w:bookmarkEnd w:id="329"/>
      <w:bookmarkStart w:id="330" w:name="_Toc184308062"/>
      <w:bookmarkEnd w:id="330"/>
      <w:bookmarkStart w:id="331" w:name="_Toc184308102"/>
      <w:bookmarkEnd w:id="331"/>
      <w:bookmarkStart w:id="332" w:name="_Toc184310343"/>
      <w:bookmarkEnd w:id="332"/>
      <w:bookmarkStart w:id="333" w:name="_Toc184310325"/>
      <w:bookmarkEnd w:id="333"/>
      <w:bookmarkStart w:id="334" w:name="_Toc184314469"/>
      <w:bookmarkEnd w:id="334"/>
      <w:bookmarkStart w:id="335" w:name="_Toc184308060"/>
      <w:bookmarkEnd w:id="335"/>
      <w:bookmarkStart w:id="336" w:name="_Toc184313266"/>
      <w:bookmarkEnd w:id="336"/>
      <w:bookmarkStart w:id="337" w:name="_Toc184314413"/>
      <w:bookmarkEnd w:id="337"/>
      <w:bookmarkStart w:id="338" w:name="_Toc184313301"/>
      <w:bookmarkEnd w:id="338"/>
      <w:bookmarkStart w:id="339" w:name="_Toc184314410"/>
      <w:bookmarkEnd w:id="339"/>
      <w:bookmarkStart w:id="340" w:name="_Toc184314444"/>
      <w:bookmarkEnd w:id="340"/>
      <w:bookmarkStart w:id="341" w:name="_Toc184313277"/>
      <w:bookmarkEnd w:id="341"/>
      <w:bookmarkStart w:id="342" w:name="_Toc184308104"/>
      <w:bookmarkEnd w:id="342"/>
      <w:bookmarkStart w:id="343" w:name="_Toc184308082"/>
      <w:bookmarkEnd w:id="343"/>
      <w:bookmarkStart w:id="344" w:name="_Toc184308103"/>
      <w:bookmarkEnd w:id="344"/>
      <w:bookmarkStart w:id="345" w:name="_Toc184314447"/>
      <w:bookmarkEnd w:id="345"/>
      <w:bookmarkStart w:id="346" w:name="_Toc184313268"/>
      <w:bookmarkEnd w:id="346"/>
      <w:bookmarkStart w:id="347" w:name="_Toc184314478"/>
      <w:bookmarkEnd w:id="347"/>
      <w:bookmarkStart w:id="348" w:name="_Toc184313303"/>
      <w:bookmarkEnd w:id="348"/>
      <w:bookmarkStart w:id="349" w:name="_Toc184308063"/>
      <w:bookmarkEnd w:id="349"/>
      <w:bookmarkStart w:id="350" w:name="_Toc184313251"/>
      <w:bookmarkEnd w:id="350"/>
      <w:bookmarkStart w:id="351" w:name="_Toc184314426"/>
      <w:bookmarkEnd w:id="351"/>
      <w:bookmarkStart w:id="352" w:name="_Toc184314482"/>
      <w:bookmarkEnd w:id="352"/>
      <w:bookmarkStart w:id="353" w:name="_Toc184310344"/>
      <w:bookmarkEnd w:id="353"/>
      <w:bookmarkStart w:id="354" w:name="_Toc184312107"/>
      <w:bookmarkEnd w:id="354"/>
      <w:bookmarkStart w:id="355" w:name="_Toc184310279"/>
      <w:bookmarkEnd w:id="355"/>
      <w:bookmarkStart w:id="356" w:name="_Toc184313289"/>
      <w:bookmarkEnd w:id="356"/>
      <w:bookmarkStart w:id="357" w:name="_Toc184314455"/>
      <w:bookmarkEnd w:id="357"/>
      <w:bookmarkStart w:id="358" w:name="_Toc184310336"/>
      <w:bookmarkEnd w:id="358"/>
      <w:bookmarkStart w:id="359" w:name="_Toc184310340"/>
      <w:bookmarkEnd w:id="359"/>
      <w:bookmarkStart w:id="360" w:name="_Toc184308038"/>
      <w:bookmarkEnd w:id="360"/>
      <w:bookmarkStart w:id="361" w:name="_Toc184308108"/>
      <w:bookmarkEnd w:id="361"/>
      <w:bookmarkStart w:id="362" w:name="_Toc184314475"/>
      <w:bookmarkEnd w:id="362"/>
      <w:bookmarkStart w:id="363" w:name="_Toc184308046"/>
      <w:bookmarkEnd w:id="363"/>
      <w:bookmarkStart w:id="364" w:name="_Toc184314422"/>
      <w:bookmarkEnd w:id="364"/>
      <w:bookmarkStart w:id="365" w:name="_Toc184312084"/>
      <w:bookmarkEnd w:id="365"/>
      <w:bookmarkStart w:id="366" w:name="_Toc184310338"/>
      <w:bookmarkEnd w:id="366"/>
      <w:bookmarkStart w:id="367" w:name="_Toc184308041"/>
      <w:bookmarkEnd w:id="367"/>
      <w:bookmarkStart w:id="368" w:name="_Toc184314472"/>
      <w:bookmarkEnd w:id="368"/>
      <w:bookmarkStart w:id="369" w:name="_Toc184308053"/>
      <w:bookmarkEnd w:id="369"/>
      <w:bookmarkStart w:id="370" w:name="_Toc184312132"/>
      <w:bookmarkEnd w:id="370"/>
      <w:bookmarkStart w:id="371" w:name="_Toc184314464"/>
      <w:bookmarkEnd w:id="371"/>
      <w:bookmarkStart w:id="372" w:name="_Toc184308072"/>
      <w:bookmarkEnd w:id="372"/>
      <w:bookmarkStart w:id="373" w:name="_Toc184310292"/>
      <w:bookmarkEnd w:id="373"/>
      <w:bookmarkStart w:id="374" w:name="_Toc184310310"/>
      <w:bookmarkEnd w:id="374"/>
      <w:bookmarkStart w:id="375" w:name="_Toc184314436"/>
      <w:bookmarkEnd w:id="375"/>
      <w:bookmarkStart w:id="376" w:name="_Toc184313258"/>
      <w:bookmarkEnd w:id="376"/>
      <w:bookmarkStart w:id="377" w:name="_Toc184313254"/>
      <w:bookmarkEnd w:id="377"/>
      <w:bookmarkStart w:id="378" w:name="_Toc184310299"/>
      <w:bookmarkEnd w:id="378"/>
      <w:bookmarkStart w:id="379" w:name="_Toc184312092"/>
      <w:bookmarkEnd w:id="379"/>
      <w:bookmarkStart w:id="380" w:name="_Toc184313297"/>
      <w:bookmarkEnd w:id="380"/>
      <w:bookmarkStart w:id="381" w:name="_Toc184312114"/>
      <w:bookmarkEnd w:id="381"/>
      <w:bookmarkStart w:id="382" w:name="_Toc184308098"/>
      <w:bookmarkEnd w:id="382"/>
      <w:bookmarkStart w:id="383" w:name="_Toc184312136"/>
      <w:bookmarkEnd w:id="383"/>
      <w:r>
        <w:rPr>
          <w:rFonts w:hint="eastAsia" w:cs="仿宋" w:asciiTheme="minorEastAsia" w:hAnsiTheme="minorEastAsia"/>
          <w:b/>
          <w:sz w:val="36"/>
          <w:szCs w:val="36"/>
        </w:rPr>
        <w:t>评审方法</w:t>
      </w:r>
    </w:p>
    <w:p>
      <w:pPr>
        <w:adjustRightInd w:val="0"/>
        <w:snapToGrid w:val="0"/>
        <w:spacing w:line="460" w:lineRule="exact"/>
        <w:ind w:firstLine="480" w:firstLineChars="200"/>
        <w:rPr>
          <w:rFonts w:cs="仿宋" w:asciiTheme="minorEastAsia" w:hAnsiTheme="minorEastAsia"/>
          <w:sz w:val="24"/>
        </w:rPr>
      </w:pP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2）核验出席评审活动现场的询价评审小组各成员和相关监督人员身份，并要求其分别登记、签到，按规定统一收缴、保存其通讯工具，无关人员一律拒绝其进入评审现场。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pPr>
        <w:pStyle w:val="8"/>
        <w:spacing w:line="360" w:lineRule="auto"/>
        <w:ind w:left="954" w:leftChars="226" w:hanging="479" w:firstLineChars="0"/>
        <w:rPr>
          <w:rFonts w:cs="宋体"/>
          <w:b/>
          <w:bCs/>
          <w:szCs w:val="21"/>
        </w:rPr>
      </w:pPr>
      <w:r>
        <w:rPr>
          <w:rFonts w:hint="eastAsia" w:cs="宋体"/>
          <w:b/>
          <w:bCs/>
          <w:szCs w:val="21"/>
        </w:rPr>
        <w:t>有下列情形之一的，响应无效：</w:t>
      </w:r>
    </w:p>
    <w:p>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D.响应文件中承诺的响应有效期少于询价采购文件中载明的投标有效期的；响应文件出现不是唯一的、有选择性响应报价的;</w:t>
      </w:r>
    </w:p>
    <w:p>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E.响应报价超过询价采购文件中规定最高限价的;</w:t>
      </w:r>
    </w:p>
    <w:p>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J.响应文件不满足询价采购文件的其它实质性要求的；</w:t>
      </w:r>
    </w:p>
    <w:p>
      <w:pPr>
        <w:spacing w:line="360" w:lineRule="auto"/>
        <w:ind w:firstLine="480" w:firstLineChars="200"/>
        <w:rPr>
          <w:rFonts w:ascii="宋体" w:hAnsi="宋体" w:cs="宋体"/>
          <w:kern w:val="0"/>
          <w:sz w:val="24"/>
        </w:rPr>
      </w:pPr>
      <w:r>
        <w:rPr>
          <w:rFonts w:hint="eastAsia" w:ascii="宋体" w:hAnsi="宋体" w:cs="宋体"/>
          <w:kern w:val="0"/>
          <w:sz w:val="24"/>
        </w:rPr>
        <w:t>K.法律、法规、规章（适用本市的）及省级以上规范性文件（适用本市的）规定的其他无效情形。</w:t>
      </w:r>
    </w:p>
    <w:p>
      <w:pPr>
        <w:spacing w:line="360" w:lineRule="auto"/>
        <w:ind w:firstLine="480" w:firstLineChars="200"/>
        <w:rPr>
          <w:rFonts w:ascii="宋体" w:hAnsi="宋体" w:cs="宋体"/>
          <w:kern w:val="0"/>
          <w:sz w:val="24"/>
        </w:rPr>
      </w:pPr>
      <w:r>
        <w:rPr>
          <w:rFonts w:hint="eastAsia" w:ascii="宋体" w:hAnsi="宋体" w:cs="宋体"/>
          <w:kern w:val="0"/>
          <w:sz w:val="24"/>
        </w:rPr>
        <w:t>L在采购人规定的截止时间以后送达的响应文件；</w:t>
      </w:r>
    </w:p>
    <w:p>
      <w:pPr>
        <w:spacing w:line="360" w:lineRule="auto"/>
        <w:ind w:firstLine="480" w:firstLineChars="200"/>
        <w:rPr>
          <w:rFonts w:ascii="宋体" w:hAnsi="宋体" w:cs="宋体"/>
          <w:kern w:val="0"/>
          <w:sz w:val="24"/>
        </w:rPr>
      </w:pPr>
      <w:r>
        <w:rPr>
          <w:rFonts w:hint="eastAsia" w:ascii="宋体" w:hAnsi="宋体" w:cs="宋体"/>
          <w:kern w:val="0"/>
          <w:sz w:val="24"/>
        </w:rPr>
        <w:t>M未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b/>
          <w:bCs/>
          <w:kern w:val="0"/>
          <w:sz w:val="24"/>
        </w:rPr>
        <w:t>（若有）</w:t>
      </w:r>
      <w:r>
        <w:rPr>
          <w:rFonts w:hint="eastAsia" w:ascii="宋体" w:hAnsi="宋体" w:cs="宋体"/>
          <w:kern w:val="0"/>
          <w:sz w:val="24"/>
        </w:rPr>
        <w:t>。</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pPr>
        <w:adjustRightInd w:val="0"/>
        <w:snapToGrid w:val="0"/>
        <w:spacing w:line="460" w:lineRule="exact"/>
        <w:ind w:firstLine="482" w:firstLineChars="200"/>
        <w:rPr>
          <w:rFonts w:hint="eastAsia" w:cs="仿宋" w:asciiTheme="minorEastAsia" w:hAnsiTheme="minorEastAsia"/>
          <w:b/>
          <w:bCs/>
          <w:sz w:val="24"/>
        </w:rPr>
      </w:pP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pPr>
        <w:pStyle w:val="7"/>
        <w:ind w:firstLine="480" w:firstLineChars="200"/>
      </w:pPr>
      <w:r>
        <w:rPr>
          <w:lang w:val="en-US"/>
        </w:rPr>
        <w:t>1.1</w:t>
      </w:r>
      <w:r>
        <w:rPr>
          <w:rFonts w:hint="eastAsia"/>
        </w:rPr>
        <w:t>若出现税率不一致的情况，以除税总金额相对比。</w:t>
      </w:r>
    </w:p>
    <w:p>
      <w:pPr>
        <w:pStyle w:val="7"/>
        <w:ind w:firstLine="480" w:firstLineChars="200"/>
      </w:pPr>
      <w:r>
        <w:rPr>
          <w:lang w:val="en-US"/>
        </w:rPr>
        <w:t>1.2</w:t>
      </w:r>
      <w:r>
        <w:rPr>
          <w:rFonts w:hint="eastAsia"/>
          <w:lang w:val="en-US"/>
        </w:rPr>
        <w:t>若</w:t>
      </w:r>
      <w:r>
        <w:rPr>
          <w:rFonts w:hint="eastAsia"/>
        </w:rPr>
        <w:t>出现相同总金额最低报价情况时，总金额最低报价相同的供应商再进行一轮报价</w:t>
      </w:r>
      <w:r>
        <w:rPr>
          <w:rFonts w:hint="eastAsia"/>
          <w:b/>
          <w:bCs/>
        </w:rPr>
        <w:t>。如报价再相同，则由采购人</w:t>
      </w:r>
      <w:r>
        <w:rPr>
          <w:rFonts w:hint="eastAsia"/>
          <w:b/>
          <w:bCs/>
          <w:lang w:val="en-US"/>
        </w:rPr>
        <w:t>工作人员组织询价评审小组成员与供应商分别</w:t>
      </w:r>
      <w:r>
        <w:rPr>
          <w:rFonts w:hint="eastAsia"/>
          <w:b/>
          <w:bCs/>
        </w:rPr>
        <w:t>再进行一轮报价，以此类推。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pPr>
        <w:widowControl/>
        <w:snapToGrid w:val="0"/>
        <w:spacing w:line="460" w:lineRule="exact"/>
        <w:ind w:firstLine="480" w:firstLineChars="200"/>
      </w:pPr>
      <w:r>
        <w:rPr>
          <w:rFonts w:hint="eastAsia" w:cs="仿宋" w:asciiTheme="minorEastAsia" w:hAnsiTheme="minorEastAsia"/>
          <w:sz w:val="24"/>
        </w:rPr>
        <w:t>3.3在采购过程中符合竞争要求的供应商或者报价未超过采购限价的供应商不足3家的。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4.不再询价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第二次询价后，报价未超过采购限价的供应商或者经评审有效的供应商仍少于3个，采购方式由询价直接转为谈判，询价采购文件即为谈判文件，询价评审小组成员即为询价谈判小组成员，询价保证金转为谈判保证金（若有）。</w:t>
      </w:r>
    </w:p>
    <w:p>
      <w:pPr>
        <w:widowControl/>
        <w:snapToGrid w:val="0"/>
        <w:spacing w:line="460" w:lineRule="exact"/>
        <w:ind w:firstLine="480" w:firstLineChars="200"/>
        <w:rPr>
          <w:rFonts w:cs="仿宋" w:asciiTheme="minorEastAsia" w:hAnsiTheme="minorEastAsia"/>
          <w:kern w:val="0"/>
          <w:sz w:val="24"/>
        </w:rPr>
      </w:pPr>
    </w:p>
    <w:p>
      <w:pPr>
        <w:pStyle w:val="2"/>
        <w:rPr>
          <w:rFonts w:cs="仿宋" w:asciiTheme="minorEastAsia" w:hAnsiTheme="minorEastAsia"/>
          <w:kern w:val="0"/>
          <w:sz w:val="24"/>
        </w:rPr>
      </w:pPr>
    </w:p>
    <w:p>
      <w:pPr>
        <w:pStyle w:val="2"/>
        <w:rPr>
          <w:rFonts w:cs="仿宋" w:asciiTheme="minorEastAsia" w:hAnsiTheme="minorEastAsia"/>
          <w:kern w:val="0"/>
          <w:sz w:val="24"/>
        </w:rPr>
      </w:pPr>
    </w:p>
    <w:p>
      <w:pPr>
        <w:pStyle w:val="2"/>
        <w:rPr>
          <w:rFonts w:cs="仿宋" w:asciiTheme="minorEastAsia" w:hAnsiTheme="minorEastAsia"/>
          <w:kern w:val="0"/>
          <w:sz w:val="24"/>
        </w:rPr>
      </w:pPr>
    </w:p>
    <w:p>
      <w:pPr>
        <w:pStyle w:val="2"/>
        <w:rPr>
          <w:rFonts w:cs="仿宋" w:asciiTheme="minorEastAsia" w:hAnsiTheme="minorEastAsia"/>
          <w:kern w:val="0"/>
          <w:sz w:val="24"/>
        </w:rPr>
      </w:pPr>
    </w:p>
    <w:p>
      <w:pPr>
        <w:pStyle w:val="2"/>
        <w:rPr>
          <w:rFonts w:cs="仿宋" w:asciiTheme="minorEastAsia" w:hAnsiTheme="minorEastAsia"/>
          <w:kern w:val="0"/>
          <w:sz w:val="24"/>
        </w:rPr>
      </w:pPr>
    </w:p>
    <w:p>
      <w:pPr>
        <w:pStyle w:val="2"/>
        <w:rPr>
          <w:rFonts w:cs="仿宋" w:asciiTheme="minorEastAsia" w:hAnsiTheme="minorEastAsia"/>
          <w:kern w:val="0"/>
          <w:sz w:val="24"/>
        </w:rPr>
      </w:pPr>
    </w:p>
    <w:p>
      <w:pPr>
        <w:pStyle w:val="2"/>
        <w:rPr>
          <w:rFonts w:cs="仿宋" w:asciiTheme="minorEastAsia" w:hAnsiTheme="minorEastAsia"/>
          <w:kern w:val="0"/>
          <w:sz w:val="24"/>
        </w:rPr>
      </w:pPr>
    </w:p>
    <w:p>
      <w:pPr>
        <w:pStyle w:val="2"/>
        <w:rPr>
          <w:rFonts w:cs="仿宋" w:asciiTheme="minorEastAsia" w:hAnsiTheme="minorEastAsia"/>
          <w:kern w:val="0"/>
          <w:sz w:val="24"/>
        </w:rPr>
      </w:pPr>
    </w:p>
    <w:p>
      <w:pPr>
        <w:numPr>
          <w:ilvl w:val="0"/>
          <w:numId w:val="1"/>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pPr>
        <w:pStyle w:val="2"/>
        <w:rPr>
          <w:rFonts w:cs="仿宋" w:asciiTheme="minorEastAsia" w:hAnsiTheme="minorEastAsia"/>
          <w:kern w:val="0"/>
          <w:sz w:val="24"/>
        </w:rPr>
      </w:pPr>
    </w:p>
    <w:p>
      <w:pPr>
        <w:pStyle w:val="2"/>
        <w:rPr>
          <w:rFonts w:cs="仿宋" w:asciiTheme="minorEastAsia" w:hAnsiTheme="minorEastAsia"/>
          <w:kern w:val="0"/>
          <w:sz w:val="24"/>
        </w:rPr>
      </w:pPr>
    </w:p>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lang w:val="en-US" w:eastAsia="zh-CN"/>
        </w:rPr>
        <w:t>2024年临江公司废油桶委外处置服务</w:t>
      </w:r>
      <w:r>
        <w:rPr>
          <w:rFonts w:hint="eastAsia" w:ascii="黑体" w:hAnsi="黑体" w:eastAsia="黑体" w:cs="宋体"/>
          <w:color w:val="000000"/>
          <w:kern w:val="0"/>
          <w:sz w:val="32"/>
          <w:szCs w:val="32"/>
        </w:rPr>
        <w:t>合同</w:t>
      </w:r>
    </w:p>
    <w:p>
      <w:pPr>
        <w:spacing w:line="400" w:lineRule="exact"/>
        <w:ind w:firstLine="480"/>
        <w:rPr>
          <w:rFonts w:hint="eastAsia" w:ascii="宋体" w:hAnsi="宋体" w:cs="宋体"/>
          <w:bCs/>
          <w:kern w:val="0"/>
          <w:szCs w:val="21"/>
        </w:rPr>
      </w:pPr>
    </w:p>
    <w:p>
      <w:pPr>
        <w:spacing w:line="400" w:lineRule="exact"/>
        <w:ind w:firstLine="480"/>
        <w:rPr>
          <w:rFonts w:ascii="宋体" w:hAnsi="宋体" w:cs="宋体"/>
          <w:kern w:val="0"/>
          <w:szCs w:val="21"/>
        </w:rPr>
      </w:pPr>
      <w:r>
        <w:rPr>
          <w:rFonts w:hint="eastAsia" w:ascii="宋体" w:hAnsi="宋体" w:cs="宋体"/>
          <w:bCs/>
          <w:kern w:val="0"/>
          <w:szCs w:val="21"/>
        </w:rPr>
        <w:t>委托方：</w:t>
      </w:r>
      <w:r>
        <w:rPr>
          <w:rFonts w:hint="eastAsia" w:ascii="宋体" w:hAnsi="宋体" w:cs="宋体"/>
          <w:szCs w:val="21"/>
        </w:rPr>
        <w:t>杭州临江环境能源有限公司(</w:t>
      </w:r>
      <w:r>
        <w:rPr>
          <w:rFonts w:hint="eastAsia" w:ascii="宋体" w:hAnsi="宋体" w:cs="宋体"/>
          <w:bCs/>
          <w:kern w:val="0"/>
          <w:szCs w:val="21"/>
        </w:rPr>
        <w:t>以下简称“甲方”)</w:t>
      </w:r>
    </w:p>
    <w:p>
      <w:pPr>
        <w:spacing w:line="400" w:lineRule="exact"/>
        <w:ind w:firstLine="480"/>
        <w:rPr>
          <w:rFonts w:ascii="宋体" w:hAnsi="宋体" w:cs="宋体"/>
          <w:szCs w:val="21"/>
        </w:rPr>
      </w:pPr>
      <w:r>
        <w:rPr>
          <w:rFonts w:hint="eastAsia" w:ascii="宋体" w:hAnsi="宋体" w:cs="宋体"/>
          <w:szCs w:val="21"/>
        </w:rPr>
        <w:t>地址：</w:t>
      </w:r>
    </w:p>
    <w:p>
      <w:pPr>
        <w:spacing w:line="400" w:lineRule="exact"/>
        <w:ind w:firstLine="480"/>
        <w:rPr>
          <w:rFonts w:ascii="宋体" w:hAnsi="宋体" w:cs="宋体"/>
          <w:szCs w:val="21"/>
        </w:rPr>
      </w:pPr>
      <w:r>
        <w:rPr>
          <w:rFonts w:hint="eastAsia" w:ascii="宋体" w:hAnsi="宋体" w:cs="宋体"/>
          <w:szCs w:val="21"/>
        </w:rPr>
        <w:t>受托方：                        (</w:t>
      </w:r>
      <w:r>
        <w:rPr>
          <w:rFonts w:hint="eastAsia" w:ascii="宋体" w:hAnsi="宋体" w:cs="宋体"/>
          <w:bCs/>
          <w:kern w:val="0"/>
          <w:szCs w:val="21"/>
        </w:rPr>
        <w:t>以下简称“乙方”)</w:t>
      </w:r>
    </w:p>
    <w:p>
      <w:pPr>
        <w:spacing w:line="400" w:lineRule="exact"/>
        <w:ind w:firstLine="480"/>
        <w:rPr>
          <w:rFonts w:ascii="宋体" w:hAnsi="宋体" w:cs="宋体"/>
          <w:szCs w:val="21"/>
        </w:rPr>
      </w:pPr>
      <w:r>
        <w:rPr>
          <w:rFonts w:hint="eastAsia" w:ascii="宋体" w:hAnsi="宋体" w:cs="宋体"/>
          <w:szCs w:val="21"/>
        </w:rPr>
        <w:t>地址：</w:t>
      </w:r>
    </w:p>
    <w:p>
      <w:pPr>
        <w:tabs>
          <w:tab w:val="left" w:pos="720"/>
        </w:tabs>
        <w:spacing w:line="400" w:lineRule="exact"/>
        <w:ind w:firstLine="480"/>
        <w:rPr>
          <w:rFonts w:ascii="宋体" w:hAnsi="宋体" w:cs="宋体"/>
          <w:szCs w:val="21"/>
        </w:rPr>
      </w:pPr>
      <w:r>
        <w:rPr>
          <w:rFonts w:hint="eastAsia" w:ascii="宋体" w:hAnsi="宋体" w:cs="宋体"/>
          <w:szCs w:val="21"/>
        </w:rPr>
        <w:t>为执行《中华人民共和国环境保护法》、《中华人民共和国固体废物污染环境防治法》以及《杭州市有害固体废物管理暂行办法》有关规定，甲方在生产过程中形成的铁桶类危险废物 ，不得随意排放、弃置或者转移，应当依法集中处理。根据《中华人民共和国合同法》的有关规定，遵循平等、自愿、公平和诚实信用的原则，甲、乙双方经协商一致，就甲方生产过程中产生的铁桶类危险废物委托乙方负责处置事宜达成协议如下，以兹共同遵守：</w:t>
      </w:r>
    </w:p>
    <w:p>
      <w:pPr>
        <w:tabs>
          <w:tab w:val="left" w:pos="720"/>
        </w:tabs>
        <w:spacing w:line="400" w:lineRule="exact"/>
        <w:rPr>
          <w:rFonts w:ascii="宋体" w:hAnsi="宋体" w:cs="宋体"/>
          <w:color w:val="000000"/>
          <w:szCs w:val="21"/>
        </w:rPr>
      </w:pPr>
      <w:r>
        <w:rPr>
          <w:rFonts w:hint="eastAsia" w:ascii="宋体" w:hAnsi="宋体" w:cs="宋体"/>
          <w:b/>
          <w:szCs w:val="21"/>
        </w:rPr>
        <w:t>第一条 服务内容</w:t>
      </w:r>
    </w:p>
    <w:p>
      <w:pPr>
        <w:tabs>
          <w:tab w:val="left" w:pos="720"/>
        </w:tabs>
        <w:spacing w:line="400" w:lineRule="exact"/>
        <w:ind w:firstLine="315" w:firstLineChars="150"/>
        <w:rPr>
          <w:rFonts w:ascii="宋体" w:hAnsi="宋体" w:cs="宋体"/>
          <w:color w:val="000000"/>
          <w:szCs w:val="21"/>
        </w:rPr>
      </w:pPr>
      <w:r>
        <w:rPr>
          <w:rFonts w:hint="eastAsia" w:ascii="宋体" w:hAnsi="宋体" w:cs="宋体"/>
          <w:color w:val="000000"/>
          <w:szCs w:val="21"/>
        </w:rPr>
        <w:t>（一）甲方为合法的危险废物产生单位，委托乙方对危险废物（见合同附件）进行处置。</w:t>
      </w:r>
    </w:p>
    <w:p>
      <w:pPr>
        <w:tabs>
          <w:tab w:val="left" w:pos="720"/>
        </w:tabs>
        <w:spacing w:line="400" w:lineRule="exact"/>
        <w:ind w:firstLine="315" w:firstLineChars="150"/>
        <w:rPr>
          <w:rFonts w:ascii="宋体" w:hAnsi="宋体" w:cs="宋体"/>
          <w:color w:val="000000"/>
          <w:szCs w:val="21"/>
        </w:rPr>
      </w:pPr>
      <w:r>
        <w:rPr>
          <w:rFonts w:hint="eastAsia" w:ascii="宋体" w:hAnsi="宋体" w:cs="宋体"/>
          <w:color w:val="000000"/>
          <w:szCs w:val="21"/>
        </w:rPr>
        <w:t>（二）乙方是合法的危险废物处置公司，具备提供危险废物处置服务的能力。</w:t>
      </w:r>
    </w:p>
    <w:p>
      <w:pPr>
        <w:tabs>
          <w:tab w:val="left" w:pos="720"/>
        </w:tabs>
        <w:spacing w:line="400" w:lineRule="exact"/>
        <w:ind w:firstLine="315" w:firstLineChars="150"/>
        <w:rPr>
          <w:rFonts w:ascii="宋体" w:hAnsi="宋体" w:cs="宋体"/>
          <w:color w:val="000000"/>
          <w:szCs w:val="21"/>
        </w:rPr>
      </w:pPr>
      <w:r>
        <w:rPr>
          <w:rFonts w:hint="eastAsia" w:ascii="宋体" w:hAnsi="宋体" w:cs="宋体"/>
          <w:color w:val="000000"/>
          <w:szCs w:val="21"/>
        </w:rPr>
        <w:t>（三）乙方按国家有关危险废物的运输规定提供运输服务。</w:t>
      </w:r>
    </w:p>
    <w:p>
      <w:pPr>
        <w:spacing w:line="400" w:lineRule="exact"/>
        <w:rPr>
          <w:rFonts w:ascii="宋体" w:hAnsi="宋体" w:cs="宋体"/>
          <w:szCs w:val="21"/>
        </w:rPr>
      </w:pPr>
      <w:r>
        <w:rPr>
          <w:rFonts w:hint="eastAsia" w:ascii="宋体" w:hAnsi="宋体" w:cs="宋体"/>
          <w:b/>
          <w:szCs w:val="21"/>
        </w:rPr>
        <w:t>第二条 甲方合同义务</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（一）甲方应依法向所在地县级以上地方人民政府环境保护行政主管部门进行相关危险废物转移的申请和危险废物的种类、产生量、流向、贮存、处置等有关资料的申报，经批准后始得进行废物转移运输和处置。</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二）甲方有责任对在生产过程中产生的废物进行安全收集并分类暂存于乙方认可的封装容器内，并有责任根据国家有关规定，在废物的包装容器表面明显处张贴符合国家标准GB18597《危险废物贮存污染控制标准》的标签，标签上的废物名称应与本合同（合同附件）所约定的废物名称相一致。甲方的包装物、标签若不符合本合同要求，或废物标签名称与包装内废物不一致时，乙方有权拒绝接收甲方废物；如果废物成分与本合同第六条所约定的废物本质上是一致的，只是废物名称不一致，或者标签填写、张贴不规范，经乙方确认后，乙方可以接受该废物，但甲方有义务整改。</w:t>
      </w:r>
    </w:p>
    <w:p>
      <w:pPr>
        <w:spacing w:line="400" w:lineRule="exact"/>
        <w:ind w:firstLine="315" w:firstLineChars="150"/>
        <w:rPr>
          <w:rFonts w:ascii="宋体" w:hAnsi="宋体" w:cs="宋体"/>
          <w:color w:val="000000"/>
          <w:szCs w:val="21"/>
          <w:highlight w:val="none"/>
        </w:rPr>
      </w:pPr>
      <w:r>
        <w:rPr>
          <w:rFonts w:hint="eastAsia" w:ascii="宋体" w:hAnsi="宋体" w:cs="宋体"/>
          <w:color w:val="000000"/>
          <w:szCs w:val="21"/>
        </w:rPr>
        <w:t>（三）危废运输由乙方负责，甲方须提前【三】个工作日通知乙方具体的收运时间、地点及收运废物的具体数量等，</w:t>
      </w:r>
      <w:r>
        <w:rPr>
          <w:rFonts w:hint="eastAsia" w:ascii="宋体" w:hAnsi="宋体" w:cs="宋体"/>
          <w:color w:val="000000"/>
          <w:szCs w:val="21"/>
          <w:highlight w:val="none"/>
        </w:rPr>
        <w:t>乙方</w:t>
      </w:r>
      <w:r>
        <w:rPr>
          <w:rFonts w:ascii="宋体" w:hAnsi="宋体" w:cs="宋体"/>
          <w:color w:val="000000"/>
          <w:szCs w:val="21"/>
          <w:highlight w:val="none"/>
        </w:rPr>
        <w:t>在收到通知后的</w:t>
      </w:r>
      <w:r>
        <w:rPr>
          <w:rFonts w:hint="eastAsia" w:ascii="宋体" w:hAnsi="宋体" w:cs="宋体"/>
          <w:color w:val="000000"/>
          <w:szCs w:val="21"/>
          <w:highlight w:val="none"/>
          <w:lang w:val="en-US" w:eastAsia="zh-CN"/>
        </w:rPr>
        <w:t>三</w:t>
      </w:r>
      <w:r>
        <w:rPr>
          <w:rFonts w:hint="eastAsia" w:ascii="宋体" w:hAnsi="宋体" w:cs="宋体"/>
          <w:color w:val="000000"/>
          <w:szCs w:val="21"/>
          <w:highlight w:val="none"/>
        </w:rPr>
        <w:t>天</w:t>
      </w:r>
      <w:r>
        <w:rPr>
          <w:rFonts w:ascii="宋体" w:hAnsi="宋体" w:cs="宋体"/>
          <w:color w:val="000000"/>
          <w:szCs w:val="21"/>
          <w:highlight w:val="none"/>
        </w:rPr>
        <w:t>内无条件</w:t>
      </w:r>
      <w:r>
        <w:rPr>
          <w:rFonts w:hint="eastAsia" w:ascii="宋体" w:hAnsi="宋体" w:cs="宋体"/>
          <w:color w:val="000000"/>
          <w:szCs w:val="21"/>
          <w:highlight w:val="none"/>
        </w:rPr>
        <w:t>提供运输服务。</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（四）甲方应将待处理的铁桶类危险废物集中存储于特定安全区域，同时为乙方上门收运提供必要的条件，包括装车所需的提升机械（叉车等）、进场道路和作业场地，并负责将废物按乙方要求进行装车。</w:t>
      </w:r>
      <w:r>
        <w:rPr>
          <w:rFonts w:ascii="宋体" w:hAnsi="宋体" w:cs="宋体"/>
          <w:color w:val="000000"/>
          <w:szCs w:val="21"/>
        </w:rPr>
        <w:t xml:space="preserve"> </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（五）甲方</w:t>
      </w:r>
      <w:r>
        <w:rPr>
          <w:rFonts w:hint="eastAsia" w:ascii="宋体" w:hAnsi="宋体" w:cs="宋体"/>
          <w:b w:val="0"/>
          <w:bCs/>
          <w:color w:val="000000"/>
          <w:szCs w:val="21"/>
        </w:rPr>
        <w:t>应</w:t>
      </w:r>
      <w:r>
        <w:rPr>
          <w:rFonts w:hint="eastAsia" w:ascii="宋体" w:hAnsi="宋体" w:cs="宋体"/>
          <w:color w:val="000000"/>
          <w:szCs w:val="21"/>
        </w:rPr>
        <w:t>指定专人负责废物清运、装卸，核实废物种类、废物包装、废物计量等方面的现场协调及处置服务费用结算等事宜。</w:t>
      </w:r>
    </w:p>
    <w:p>
      <w:pPr>
        <w:spacing w:line="400" w:lineRule="exact"/>
        <w:rPr>
          <w:rFonts w:ascii="宋体" w:hAnsi="宋体" w:cs="宋体"/>
          <w:b/>
          <w:color w:val="000000"/>
          <w:szCs w:val="21"/>
        </w:rPr>
      </w:pPr>
      <w:r>
        <w:rPr>
          <w:rFonts w:hint="eastAsia" w:ascii="宋体" w:hAnsi="宋体" w:cs="宋体"/>
          <w:b/>
          <w:color w:val="000000"/>
          <w:szCs w:val="21"/>
        </w:rPr>
        <w:t>第三条 乙方合同义务：</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一）乙方应严格按照国家环境保护的规定和技术规范在自身经营许可范围内对甲方委托处置的危险废物进行安全处置，在运输和处置过程中，不产生对环境的二次污染，并按照国家有关规定承担处置中产生的相应责任。</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（二）乙方在合同的有效期内，应具备处理相应危险废物所需的资质、条件和设施，并保证所有的相关证件持续合法有效</w:t>
      </w:r>
      <w:r>
        <w:rPr>
          <w:rFonts w:hint="eastAsia" w:ascii="宋体" w:hAnsi="宋体" w:cs="宋体"/>
          <w:b/>
          <w:color w:val="000000"/>
          <w:szCs w:val="21"/>
        </w:rPr>
        <w:t>。</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（三）乙方提供运输服务时，按双方确认的计划定期到甲方收取铁桶类危险废物，不影响甲方正常生产、经营活动</w:t>
      </w:r>
      <w:r>
        <w:rPr>
          <w:rFonts w:hint="eastAsia" w:ascii="宋体" w:hAnsi="宋体" w:cs="宋体"/>
          <w:b/>
          <w:color w:val="000000"/>
          <w:szCs w:val="21"/>
        </w:rPr>
        <w:t>。</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（四）乙方须制定意外事故的防范措施及应急预案，应急预案应当包括紧急污染清除措施</w:t>
      </w:r>
      <w:r>
        <w:rPr>
          <w:rFonts w:hint="eastAsia" w:ascii="宋体" w:hAnsi="宋体" w:cs="宋体"/>
          <w:b/>
          <w:color w:val="000000"/>
          <w:szCs w:val="21"/>
        </w:rPr>
        <w:t>；</w:t>
      </w:r>
      <w:r>
        <w:rPr>
          <w:rFonts w:hint="eastAsia" w:ascii="宋体" w:hAnsi="宋体" w:cs="宋体"/>
          <w:color w:val="000000"/>
          <w:szCs w:val="21"/>
        </w:rPr>
        <w:t>在运输过程中发生突发事故时，应第一时间通知甲方，立即向事故发生地县级以上地方保护环境行政主管部门及危险废物批准转移机关报告，并按照应急预案实施采取应急处置措施</w:t>
      </w:r>
      <w:r>
        <w:rPr>
          <w:rFonts w:hint="eastAsia" w:ascii="宋体" w:hAnsi="宋体" w:cs="宋体"/>
          <w:b/>
          <w:color w:val="000000"/>
          <w:szCs w:val="21"/>
        </w:rPr>
        <w:t>。</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（五）乙方对其从业人员应做到严格要求，规范管理，并制定切实有效的工作制度，加强法律法规</w:t>
      </w:r>
      <w:r>
        <w:rPr>
          <w:rFonts w:hint="eastAsia" w:ascii="宋体" w:hAnsi="宋体" w:cs="宋体"/>
          <w:b/>
          <w:color w:val="000000"/>
          <w:szCs w:val="21"/>
        </w:rPr>
        <w:t>、</w:t>
      </w:r>
      <w:r>
        <w:rPr>
          <w:rFonts w:hint="eastAsia" w:ascii="宋体" w:hAnsi="宋体" w:cs="宋体"/>
          <w:color w:val="000000"/>
          <w:szCs w:val="21"/>
        </w:rPr>
        <w:t>专业技术</w:t>
      </w:r>
      <w:r>
        <w:rPr>
          <w:rFonts w:hint="eastAsia" w:ascii="宋体" w:hAnsi="宋体" w:cs="宋体"/>
          <w:b/>
          <w:color w:val="000000"/>
          <w:szCs w:val="21"/>
        </w:rPr>
        <w:t>、</w:t>
      </w:r>
      <w:r>
        <w:rPr>
          <w:rFonts w:hint="eastAsia" w:ascii="宋体" w:hAnsi="宋体" w:cs="宋体"/>
          <w:color w:val="000000"/>
          <w:szCs w:val="21"/>
        </w:rPr>
        <w:t>安全防护以及应急处理等知识培训，熟悉本岗位工作流程，做到规范收集危险废物，安全处置；乙方从业人员应在甲方厂区内文明作业，并遵守甲方的相关环境以及安全管理规定。</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（六）乙方</w:t>
      </w:r>
      <w:r>
        <w:rPr>
          <w:rFonts w:hint="eastAsia" w:ascii="宋体" w:hAnsi="宋体" w:cs="宋体"/>
          <w:b w:val="0"/>
          <w:bCs/>
          <w:color w:val="000000"/>
          <w:szCs w:val="21"/>
        </w:rPr>
        <w:t>应</w:t>
      </w:r>
      <w:r>
        <w:rPr>
          <w:rFonts w:hint="eastAsia" w:ascii="宋体" w:hAnsi="宋体" w:cs="宋体"/>
          <w:color w:val="000000"/>
          <w:szCs w:val="21"/>
        </w:rPr>
        <w:t>指定专人负责该废物转移、处置、结算、报送资料、协助甲方的处置核查等事宜。</w:t>
      </w:r>
    </w:p>
    <w:p>
      <w:pPr>
        <w:spacing w:line="400" w:lineRule="exact"/>
        <w:rPr>
          <w:rFonts w:ascii="宋体" w:hAnsi="宋体" w:cs="宋体"/>
          <w:b/>
          <w:color w:val="000000"/>
          <w:szCs w:val="21"/>
        </w:rPr>
      </w:pPr>
      <w:r>
        <w:rPr>
          <w:rFonts w:hint="eastAsia" w:ascii="宋体" w:hAnsi="宋体" w:cs="宋体"/>
          <w:b/>
          <w:color w:val="000000"/>
          <w:szCs w:val="21"/>
        </w:rPr>
        <w:t>第四条  铁桶类危险废物的计量及联单管理</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（一）铁桶类危险废物的计重：在</w:t>
      </w:r>
      <w:r>
        <w:rPr>
          <w:rFonts w:hint="eastAsia" w:ascii="宋体" w:hAnsi="宋体" w:cs="宋体"/>
          <w:color w:val="000000"/>
          <w:szCs w:val="21"/>
          <w:u w:val="single"/>
        </w:rPr>
        <w:t xml:space="preserve">     </w:t>
      </w:r>
      <w:r>
        <w:rPr>
          <w:rFonts w:hint="eastAsia" w:ascii="宋体" w:hAnsi="宋体" w:cs="宋体"/>
          <w:color w:val="000000"/>
          <w:szCs w:val="21"/>
        </w:rPr>
        <w:t>现场过磅（秤），由双方签字确认</w:t>
      </w:r>
      <w:r>
        <w:rPr>
          <w:rFonts w:hint="eastAsia" w:ascii="宋体" w:hAnsi="宋体" w:cs="宋体"/>
          <w:bCs/>
          <w:color w:val="000000"/>
          <w:szCs w:val="21"/>
        </w:rPr>
        <w:t>。若发生争议，双方协商解决。</w:t>
      </w:r>
    </w:p>
    <w:p>
      <w:pPr>
        <w:spacing w:line="400" w:lineRule="exact"/>
        <w:ind w:firstLine="315" w:firstLineChars="150"/>
        <w:rPr>
          <w:rFonts w:ascii="宋体" w:hAnsi="宋体" w:cs="宋体"/>
          <w:b/>
          <w:color w:val="000000"/>
          <w:szCs w:val="21"/>
        </w:rPr>
      </w:pPr>
      <w:r>
        <w:rPr>
          <w:rFonts w:hint="eastAsia" w:ascii="宋体" w:hAnsi="宋体" w:cs="宋体"/>
          <w:color w:val="000000"/>
          <w:szCs w:val="21"/>
        </w:rPr>
        <w:t>（二）铁桶类危险废物的联单管理</w:t>
      </w:r>
      <w:r>
        <w:rPr>
          <w:rFonts w:hint="eastAsia" w:ascii="宋体" w:hAnsi="宋体" w:cs="宋体"/>
          <w:b/>
          <w:color w:val="000000"/>
          <w:szCs w:val="21"/>
        </w:rPr>
        <w:t>：</w:t>
      </w:r>
      <w:r>
        <w:rPr>
          <w:rFonts w:hint="eastAsia" w:ascii="宋体" w:hAnsi="宋体" w:cs="宋体"/>
          <w:color w:val="000000"/>
          <w:szCs w:val="21"/>
        </w:rPr>
        <w:t>甲、乙双方交接铁桶类危险废物时，必须按当地环保部门相关要求认真填写《危险废物转移联单》内的各项内容。《危险废物转移联单》是作为合同双方核对铁桶类危险废物种类、数量以及收费的凭证。</w:t>
      </w:r>
    </w:p>
    <w:p>
      <w:pPr>
        <w:spacing w:line="400" w:lineRule="exact"/>
        <w:rPr>
          <w:rFonts w:ascii="宋体" w:hAnsi="宋体" w:cs="宋体"/>
          <w:b/>
          <w:color w:val="000000"/>
          <w:szCs w:val="21"/>
        </w:rPr>
      </w:pPr>
      <w:r>
        <w:rPr>
          <w:rFonts w:hint="eastAsia" w:ascii="宋体" w:hAnsi="宋体" w:cs="宋体"/>
          <w:b/>
          <w:color w:val="000000"/>
          <w:szCs w:val="21"/>
        </w:rPr>
        <w:t>第五条  危险废物的运输和责任承担</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（一）本合同项下危险废物的转移必须严格按照《危险废物转移联单》的相关要求进行，须委托有资质的运输单位承运。</w:t>
      </w:r>
    </w:p>
    <w:p>
      <w:pPr>
        <w:spacing w:line="400" w:lineRule="exact"/>
        <w:ind w:firstLine="315" w:firstLineChars="150"/>
        <w:rPr>
          <w:rFonts w:ascii="宋体" w:hAnsi="宋体" w:cs="宋体"/>
          <w:b/>
          <w:color w:val="000000"/>
          <w:szCs w:val="21"/>
        </w:rPr>
      </w:pPr>
      <w:r>
        <w:rPr>
          <w:rFonts w:hint="eastAsia" w:ascii="宋体" w:hAnsi="宋体" w:cs="宋体"/>
          <w:color w:val="000000"/>
          <w:szCs w:val="21"/>
        </w:rPr>
        <w:t>（二）乙方负责提供有资质的危险废物运输车辆到甲方收运危险废物，运输费由乙方承担，且须制定意外事故的防范措施及和应急预案，应急预案应当包括紧急污染清除措施</w:t>
      </w:r>
      <w:r>
        <w:rPr>
          <w:rFonts w:hint="eastAsia" w:ascii="宋体" w:hAnsi="宋体" w:cs="宋体"/>
          <w:b/>
          <w:color w:val="000000"/>
          <w:szCs w:val="21"/>
        </w:rPr>
        <w:t>；</w:t>
      </w:r>
      <w:r>
        <w:rPr>
          <w:rFonts w:hint="eastAsia" w:ascii="宋体" w:hAnsi="宋体" w:cs="宋体"/>
          <w:color w:val="000000"/>
          <w:szCs w:val="21"/>
        </w:rPr>
        <w:t>在运输过程中发生突发事故时，应第一时间通知甲方，并立即向事故发生地县级以上地方保护环境行政主管部门及危险废物批准转移机关报告，按照应急预案实施采取应急处置措施。</w:t>
      </w:r>
    </w:p>
    <w:p>
      <w:pPr>
        <w:spacing w:line="400" w:lineRule="exact"/>
        <w:ind w:firstLine="420" w:firstLineChars="200"/>
        <w:rPr>
          <w:rFonts w:ascii="宋体" w:hAnsi="宋体" w:cs="宋体"/>
          <w:color w:val="000000"/>
          <w:szCs w:val="21"/>
        </w:rPr>
      </w:pPr>
      <w:r>
        <w:rPr>
          <w:rFonts w:hint="eastAsia" w:ascii="宋体" w:hAnsi="宋体" w:cs="宋体"/>
          <w:color w:val="000000"/>
          <w:szCs w:val="21"/>
        </w:rPr>
        <w:t>（三）危险废物甲方交由乙方签收之后，责任由乙方自行承担；当乙方派遣的运输车辆到甲方装运完危险废物驶离甲方公司大门后，视为乙方签收。</w:t>
      </w:r>
    </w:p>
    <w:p>
      <w:pPr>
        <w:spacing w:line="400" w:lineRule="exact"/>
        <w:rPr>
          <w:rFonts w:ascii="宋体" w:hAnsi="宋体" w:cs="宋体"/>
          <w:b/>
          <w:color w:val="000000"/>
          <w:szCs w:val="21"/>
        </w:rPr>
      </w:pPr>
      <w:r>
        <w:rPr>
          <w:rFonts w:hint="eastAsia" w:ascii="宋体" w:hAnsi="宋体" w:cs="宋体"/>
          <w:b/>
          <w:color w:val="000000"/>
          <w:szCs w:val="21"/>
        </w:rPr>
        <w:t>第六条  合同费用的结算</w:t>
      </w:r>
    </w:p>
    <w:p>
      <w:pPr>
        <w:pStyle w:val="9"/>
        <w:adjustRightInd w:val="0"/>
        <w:snapToGrid w:val="0"/>
        <w:spacing w:line="360" w:lineRule="auto"/>
        <w:ind w:firstLine="420" w:firstLineChars="200"/>
        <w:rPr>
          <w:rFonts w:hint="eastAsia" w:ascii="Arial" w:hAnsi="Arial" w:cs="Arial"/>
        </w:rPr>
      </w:pPr>
      <w:r>
        <w:rPr>
          <w:rFonts w:hint="eastAsia" w:ascii="Arial" w:hAnsi="Arial" w:cs="Arial"/>
        </w:rPr>
        <w:t>（一）履约保证</w:t>
      </w:r>
      <w:r>
        <w:rPr>
          <w:rFonts w:ascii="Arial" w:hAnsi="Arial" w:cs="Arial"/>
        </w:rPr>
        <w:t>金</w:t>
      </w:r>
    </w:p>
    <w:p>
      <w:pPr>
        <w:pStyle w:val="9"/>
        <w:adjustRightInd w:val="0"/>
        <w:snapToGrid w:val="0"/>
        <w:spacing w:line="360" w:lineRule="auto"/>
        <w:ind w:firstLine="420" w:firstLineChars="200"/>
        <w:rPr>
          <w:rFonts w:hint="default" w:ascii="Arial" w:hAnsi="Arial" w:eastAsia="宋体" w:cs="Arial"/>
          <w:b/>
          <w:u w:val="single"/>
          <w:lang w:val="en-US" w:eastAsia="zh-CN"/>
        </w:rPr>
      </w:pPr>
      <w:r>
        <w:rPr>
          <w:rFonts w:ascii="Arial" w:hAnsi="Arial" w:cs="Arial"/>
        </w:rPr>
        <w:t>履约保证金金额：</w:t>
      </w:r>
      <w:r>
        <w:rPr>
          <w:rFonts w:hint="eastAsia" w:ascii="Arial" w:hAnsi="Arial" w:cs="Arial"/>
          <w:u w:val="single"/>
          <w:lang w:val="en-US" w:eastAsia="zh-CN"/>
        </w:rPr>
        <w:t>中标价的5%</w:t>
      </w:r>
    </w:p>
    <w:p>
      <w:pPr>
        <w:pStyle w:val="9"/>
        <w:adjustRightInd w:val="0"/>
        <w:snapToGrid w:val="0"/>
        <w:spacing w:line="360" w:lineRule="auto"/>
        <w:ind w:firstLine="420" w:firstLineChars="200"/>
        <w:rPr>
          <w:rFonts w:ascii="Arial" w:hAnsi="Arial" w:cs="Arial"/>
        </w:rPr>
      </w:pPr>
      <w:r>
        <w:rPr>
          <w:rFonts w:ascii="Arial" w:hAnsi="Arial" w:cs="Arial"/>
        </w:rPr>
        <w:t>履约保证金提交时间：在</w:t>
      </w:r>
      <w:r>
        <w:rPr>
          <w:rFonts w:hint="eastAsia" w:ascii="Arial" w:hAnsi="Arial" w:cs="Arial"/>
          <w:szCs w:val="22"/>
        </w:rPr>
        <w:t>签订合同的同时</w:t>
      </w:r>
      <w:r>
        <w:rPr>
          <w:rFonts w:ascii="Arial" w:hAnsi="Arial" w:cs="Arial"/>
        </w:rPr>
        <w:t>提交。</w:t>
      </w:r>
    </w:p>
    <w:p>
      <w:pPr>
        <w:pStyle w:val="9"/>
        <w:adjustRightInd w:val="0"/>
        <w:snapToGrid w:val="0"/>
        <w:spacing w:line="360" w:lineRule="auto"/>
        <w:ind w:firstLine="420" w:firstLineChars="200"/>
        <w:rPr>
          <w:rFonts w:ascii="Arial" w:hAnsi="Arial" w:cs="Arial"/>
        </w:rPr>
      </w:pPr>
      <w:r>
        <w:rPr>
          <w:rFonts w:ascii="Arial" w:hAnsi="Arial" w:cs="Arial"/>
        </w:rPr>
        <w:t>履约保证金的形式为：电汇。</w:t>
      </w:r>
    </w:p>
    <w:p>
      <w:pPr>
        <w:pStyle w:val="9"/>
        <w:adjustRightInd w:val="0"/>
        <w:snapToGrid w:val="0"/>
        <w:spacing w:line="360" w:lineRule="auto"/>
        <w:ind w:firstLine="420" w:firstLineChars="200"/>
        <w:rPr>
          <w:rFonts w:ascii="Arial" w:hAnsi="Arial" w:cs="Arial"/>
        </w:rPr>
      </w:pPr>
      <w:r>
        <w:rPr>
          <w:rFonts w:ascii="Arial" w:hAnsi="Arial" w:cs="Arial"/>
        </w:rPr>
        <w:t>有效期：至合同终止。</w:t>
      </w:r>
    </w:p>
    <w:p>
      <w:pPr>
        <w:pStyle w:val="7"/>
        <w:ind w:firstLine="480" w:firstLineChars="200"/>
        <w:rPr>
          <w:rFonts w:hint="eastAsia"/>
        </w:rPr>
      </w:pPr>
      <w:r>
        <w:rPr>
          <w:rFonts w:ascii="Arial" w:hAnsi="Arial" w:cs="Arial"/>
        </w:rPr>
        <w:t>履约保证金的的退还：在合同终止</w:t>
      </w:r>
      <w:r>
        <w:rPr>
          <w:rFonts w:ascii="Arial" w:hAnsi="Arial" w:cs="Arial"/>
          <w:szCs w:val="24"/>
        </w:rPr>
        <w:t>后30天内，双方不存在争议，扣除需支付的违约金后，余额退还（无息）。</w:t>
      </w:r>
    </w:p>
    <w:p>
      <w:pPr>
        <w:spacing w:line="400" w:lineRule="exact"/>
        <w:ind w:firstLine="316" w:firstLineChars="150"/>
        <w:rPr>
          <w:rFonts w:ascii="宋体" w:hAnsi="宋体" w:cs="宋体"/>
          <w:bCs/>
          <w:color w:val="000000"/>
          <w:szCs w:val="21"/>
        </w:rPr>
      </w:pPr>
      <w:r>
        <w:rPr>
          <w:rFonts w:hint="eastAsia" w:ascii="宋体" w:hAnsi="宋体" w:cs="宋体"/>
          <w:b/>
          <w:bCs/>
          <w:color w:val="000000"/>
          <w:szCs w:val="21"/>
        </w:rPr>
        <w:t>（二）</w:t>
      </w:r>
      <w:r>
        <w:rPr>
          <w:rFonts w:hint="eastAsia" w:ascii="宋体" w:hAnsi="宋体" w:cs="宋体"/>
          <w:bCs/>
          <w:color w:val="000000"/>
          <w:szCs w:val="21"/>
        </w:rPr>
        <w:t>处置费及结算方式</w:t>
      </w:r>
    </w:p>
    <w:p>
      <w:pPr>
        <w:spacing w:line="400" w:lineRule="exact"/>
        <w:ind w:firstLine="525" w:firstLineChars="250"/>
        <w:rPr>
          <w:rFonts w:ascii="宋体" w:hAnsi="宋体" w:cs="宋体"/>
          <w:bCs/>
          <w:color w:val="000000"/>
          <w:szCs w:val="21"/>
        </w:rPr>
      </w:pPr>
      <w:r>
        <w:rPr>
          <w:rFonts w:hint="eastAsia" w:ascii="宋体" w:hAnsi="宋体" w:cs="宋体"/>
          <w:bCs/>
          <w:color w:val="000000"/>
          <w:szCs w:val="21"/>
        </w:rPr>
        <w:t>1、废物种类、数量、处置费：见合同附件。</w:t>
      </w:r>
    </w:p>
    <w:p>
      <w:pPr>
        <w:spacing w:line="400" w:lineRule="exact"/>
        <w:ind w:firstLine="525" w:firstLineChars="250"/>
        <w:rPr>
          <w:rFonts w:ascii="宋体" w:hAnsi="宋体" w:cs="宋体"/>
          <w:bCs/>
          <w:color w:val="000000"/>
          <w:szCs w:val="21"/>
        </w:rPr>
      </w:pPr>
      <w:r>
        <w:rPr>
          <w:rFonts w:hint="eastAsia" w:ascii="宋体" w:hAnsi="宋体" w:cs="宋体"/>
          <w:bCs/>
          <w:color w:val="000000"/>
          <w:szCs w:val="21"/>
        </w:rPr>
        <w:t>2、废物处置费支付方式：</w:t>
      </w:r>
    </w:p>
    <w:p>
      <w:pPr>
        <w:spacing w:line="400" w:lineRule="exact"/>
        <w:ind w:firstLine="525" w:firstLineChars="250"/>
        <w:rPr>
          <w:rFonts w:ascii="宋体" w:hAnsi="宋体" w:cs="宋体"/>
          <w:bCs/>
          <w:color w:val="000000"/>
          <w:szCs w:val="21"/>
        </w:rPr>
      </w:pPr>
      <w:r>
        <w:rPr>
          <w:rFonts w:hint="eastAsia" w:ascii="宋体" w:hAnsi="宋体" w:cs="宋体"/>
          <w:bCs/>
          <w:color w:val="000000"/>
          <w:szCs w:val="21"/>
        </w:rPr>
        <w:t>A、甲方应在乙方提走废物后，收到乙方开具的增值税专用发票，在10个工作日内将处置费汇入乙方指定银行账号内。</w:t>
      </w:r>
    </w:p>
    <w:p>
      <w:pPr>
        <w:spacing w:line="400" w:lineRule="exact"/>
        <w:rPr>
          <w:rFonts w:ascii="宋体" w:hAnsi="宋体" w:cs="宋体"/>
          <w:b/>
          <w:color w:val="000000"/>
          <w:szCs w:val="21"/>
        </w:rPr>
      </w:pPr>
      <w:r>
        <w:rPr>
          <w:rFonts w:hint="eastAsia" w:ascii="宋体" w:hAnsi="宋体" w:cs="宋体"/>
          <w:b/>
          <w:color w:val="000000"/>
          <w:szCs w:val="21"/>
        </w:rPr>
        <w:t>第七条  违约责任</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一）合同双方中一方违反本合同的规定，守约方有权要求违约方停止并纠正违约行为，违约方应当承担违约责任；违约方应当在7个工作日内改正完毕，如违约方未改正或未在规定的时间内完成改正，造成守约方经济以及其他方面损失的，违约方应予以赔偿，且守约方有权单方解除本合同。</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（二）合同双方中一方无正当理由撤销或解除合同，造成合同另一方损失的，应赔偿由此造成的实际损失。</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（三）甲方所交付的铁桶类危险废物不符合本合同规定的，由乙方就不符合本合同规定的铁桶类危险废物重新提出报价单交于甲方，经双方商议确认后，由乙方负责处理。</w:t>
      </w:r>
      <w:r>
        <w:rPr>
          <w:rFonts w:ascii="宋体" w:hAnsi="宋体" w:cs="宋体"/>
          <w:color w:val="000000"/>
          <w:szCs w:val="21"/>
        </w:rPr>
        <w:t xml:space="preserve"> </w:t>
      </w:r>
    </w:p>
    <w:p>
      <w:pPr>
        <w:pStyle w:val="7"/>
        <w:ind w:firstLine="360" w:firstLineChars="150"/>
        <w:rPr>
          <w:rFonts w:hint="eastAsia"/>
          <w:highlight w:val="none"/>
        </w:rPr>
      </w:pPr>
      <w:r>
        <w:rPr>
          <w:rFonts w:hint="eastAsia"/>
          <w:highlight w:val="none"/>
        </w:rPr>
        <w:t>（四）</w:t>
      </w:r>
      <w:r>
        <w:rPr>
          <w:rFonts w:hint="eastAsia" w:ascii="宋体" w:hAnsi="宋体" w:cs="宋体"/>
          <w:szCs w:val="21"/>
          <w:highlight w:val="none"/>
        </w:rPr>
        <w:t>乙方应按约定时间进行铁桶类危险废物运输、</w:t>
      </w:r>
      <w:r>
        <w:rPr>
          <w:rFonts w:ascii="宋体" w:hAnsi="宋体" w:cs="宋体"/>
          <w:szCs w:val="21"/>
          <w:highlight w:val="none"/>
        </w:rPr>
        <w:t>处置，</w:t>
      </w:r>
      <w:r>
        <w:rPr>
          <w:rFonts w:hint="eastAsia" w:ascii="宋体" w:hAnsi="宋体" w:cs="宋体"/>
          <w:szCs w:val="21"/>
          <w:highlight w:val="none"/>
        </w:rPr>
        <w:t>如乙方未按双方合同约定如期运输、</w:t>
      </w:r>
      <w:r>
        <w:rPr>
          <w:rFonts w:ascii="宋体" w:hAnsi="宋体" w:cs="宋体"/>
          <w:szCs w:val="21"/>
          <w:highlight w:val="none"/>
        </w:rPr>
        <w:t>处置</w:t>
      </w:r>
      <w:r>
        <w:rPr>
          <w:rFonts w:hint="eastAsia" w:ascii="宋体" w:hAnsi="宋体" w:cs="宋体"/>
          <w:szCs w:val="21"/>
          <w:highlight w:val="none"/>
        </w:rPr>
        <w:t xml:space="preserve">的，每逾期一日按应付总额 </w:t>
      </w:r>
      <w:r>
        <w:rPr>
          <w:rFonts w:ascii="宋体" w:hAnsi="宋体" w:cs="宋体"/>
          <w:szCs w:val="21"/>
          <w:highlight w:val="none"/>
        </w:rPr>
        <w:t>5</w:t>
      </w:r>
      <w:r>
        <w:rPr>
          <w:rFonts w:hint="eastAsia" w:ascii="宋体" w:hAnsi="宋体" w:cs="宋体"/>
          <w:szCs w:val="21"/>
          <w:highlight w:val="none"/>
        </w:rPr>
        <w:t>%向甲方支付滞纳金，如逾期</w:t>
      </w:r>
      <w:r>
        <w:rPr>
          <w:rFonts w:ascii="宋体" w:hAnsi="宋体" w:cs="宋体"/>
          <w:szCs w:val="21"/>
          <w:highlight w:val="none"/>
        </w:rPr>
        <w:t>超过三次</w:t>
      </w:r>
      <w:r>
        <w:rPr>
          <w:rFonts w:hint="eastAsia" w:ascii="宋体" w:hAnsi="宋体" w:cs="宋体"/>
          <w:szCs w:val="21"/>
          <w:highlight w:val="none"/>
        </w:rPr>
        <w:t>，甲方有权解除合同</w:t>
      </w:r>
      <w:r>
        <w:rPr>
          <w:rFonts w:hint="eastAsia" w:ascii="宋体" w:hAnsi="宋体" w:cs="宋体"/>
          <w:szCs w:val="21"/>
          <w:highlight w:val="none"/>
          <w:lang w:eastAsia="zh-CN"/>
        </w:rPr>
        <w:t>，</w:t>
      </w:r>
      <w:r>
        <w:rPr>
          <w:rFonts w:hint="eastAsia" w:ascii="宋体" w:hAnsi="宋体" w:cs="宋体"/>
          <w:szCs w:val="21"/>
          <w:highlight w:val="none"/>
          <w:lang w:val="en-US" w:eastAsia="zh-CN"/>
        </w:rPr>
        <w:t>并罚没履约保证金</w:t>
      </w:r>
      <w:r>
        <w:rPr>
          <w:rFonts w:hint="eastAsia" w:ascii="宋体" w:hAnsi="宋体" w:cs="宋体"/>
          <w:szCs w:val="21"/>
          <w:highlight w:val="none"/>
        </w:rPr>
        <w:t>。</w:t>
      </w:r>
    </w:p>
    <w:p>
      <w:pPr>
        <w:spacing w:line="400" w:lineRule="exact"/>
        <w:rPr>
          <w:rFonts w:ascii="宋体" w:hAnsi="宋体" w:cs="宋体"/>
          <w:b/>
          <w:color w:val="000000"/>
          <w:szCs w:val="21"/>
        </w:rPr>
      </w:pPr>
      <w:r>
        <w:rPr>
          <w:rFonts w:hint="eastAsia" w:ascii="宋体" w:hAnsi="宋体" w:cs="宋体"/>
          <w:b/>
          <w:color w:val="000000"/>
          <w:szCs w:val="21"/>
        </w:rPr>
        <w:t>第</w:t>
      </w:r>
      <w:r>
        <w:rPr>
          <w:rFonts w:hint="eastAsia" w:ascii="宋体" w:hAnsi="宋体" w:cs="宋体"/>
          <w:b/>
          <w:color w:val="000000"/>
          <w:szCs w:val="21"/>
          <w:lang w:val="en-US" w:eastAsia="zh-CN"/>
        </w:rPr>
        <w:t>八</w:t>
      </w:r>
      <w:r>
        <w:rPr>
          <w:rFonts w:hint="eastAsia" w:ascii="宋体" w:hAnsi="宋体" w:cs="宋体"/>
          <w:b/>
          <w:color w:val="000000"/>
          <w:szCs w:val="21"/>
        </w:rPr>
        <w:t>条  特别约定</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（一）乙方应对甲方铁桶类危险废物所拥有的技术秘密以及商业秘密进行保密。</w:t>
      </w:r>
    </w:p>
    <w:p>
      <w:pPr>
        <w:pStyle w:val="30"/>
        <w:spacing w:line="400" w:lineRule="exact"/>
        <w:ind w:firstLine="315" w:firstLineChars="150"/>
        <w:rPr>
          <w:rFonts w:ascii="宋体" w:hAnsi="宋体" w:cs="宋体"/>
          <w:bCs/>
          <w:color w:val="000000"/>
          <w:kern w:val="0"/>
          <w:szCs w:val="21"/>
        </w:rPr>
      </w:pPr>
      <w:r>
        <w:rPr>
          <w:rFonts w:hint="eastAsia" w:ascii="宋体" w:hAnsi="宋体" w:cs="宋体"/>
          <w:color w:val="000000"/>
          <w:szCs w:val="21"/>
        </w:rPr>
        <w:t>（二）合同双方须按照相关环境法律法规和当地环保部门相关要求对危废进行转移、处置；如果废物转移审批未获得主管环保部门的批准，本合同自动终止。</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（三）甲乙双方均应遵守反商业贿赂条例，不得向对方或对方经办人或其他相关人员索要、收受、提供、给予合同约定外的任何利益。</w:t>
      </w:r>
    </w:p>
    <w:p>
      <w:pPr>
        <w:spacing w:line="400" w:lineRule="exact"/>
        <w:rPr>
          <w:rFonts w:ascii="宋体" w:hAnsi="宋体" w:cs="宋体"/>
          <w:b/>
          <w:color w:val="000000"/>
          <w:szCs w:val="21"/>
        </w:rPr>
      </w:pPr>
      <w:r>
        <w:rPr>
          <w:rFonts w:hint="eastAsia" w:ascii="宋体" w:hAnsi="宋体" w:cs="宋体"/>
          <w:b/>
          <w:color w:val="000000"/>
          <w:szCs w:val="21"/>
        </w:rPr>
        <w:t>第</w:t>
      </w:r>
      <w:r>
        <w:rPr>
          <w:rFonts w:hint="eastAsia" w:ascii="宋体" w:hAnsi="宋体" w:cs="宋体"/>
          <w:b/>
          <w:color w:val="000000"/>
          <w:szCs w:val="21"/>
          <w:lang w:val="en-US" w:eastAsia="zh-CN"/>
        </w:rPr>
        <w:t>九</w:t>
      </w:r>
      <w:r>
        <w:rPr>
          <w:rFonts w:hint="eastAsia" w:ascii="宋体" w:hAnsi="宋体" w:cs="宋体"/>
          <w:b/>
          <w:color w:val="000000"/>
          <w:szCs w:val="21"/>
        </w:rPr>
        <w:t>条  合同争议的解决及其他事宜</w:t>
      </w:r>
    </w:p>
    <w:p>
      <w:pPr>
        <w:spacing w:line="400" w:lineRule="exact"/>
        <w:ind w:firstLine="315" w:firstLineChars="150"/>
        <w:rPr>
          <w:rFonts w:hint="eastAsia" w:ascii="宋体" w:hAnsi="宋体" w:cs="宋体"/>
          <w:color w:val="000000"/>
          <w:szCs w:val="21"/>
        </w:rPr>
      </w:pPr>
      <w:r>
        <w:rPr>
          <w:rFonts w:hint="eastAsia" w:ascii="宋体" w:hAnsi="宋体" w:cs="宋体"/>
          <w:color w:val="000000"/>
          <w:szCs w:val="21"/>
        </w:rPr>
        <w:t>（一）本合同有效期为_</w:t>
      </w:r>
      <w:r>
        <w:rPr>
          <w:rFonts w:ascii="宋体" w:hAnsi="宋体" w:cs="宋体"/>
          <w:color w:val="000000"/>
          <w:szCs w:val="21"/>
        </w:rPr>
        <w:t>1</w:t>
      </w:r>
      <w:r>
        <w:rPr>
          <w:rFonts w:hint="eastAsia" w:ascii="宋体" w:hAnsi="宋体" w:cs="宋体"/>
          <w:color w:val="000000"/>
          <w:szCs w:val="21"/>
        </w:rPr>
        <w:t>_年，自_____年___月___日起至_____年___月___日止，</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（二）本合同未尽事宜，由双方协商解决或另行签订书面补充协议，补充协议与本合同具有同等法律效力，补充协议与本合同约定不一致的，以补充协议的约定为准。</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（三）因本合同履行发生的任何争议，由甲、乙双方先应友好协商解决；协商不成时，双方一致同意提交甲方住所地人民法院诉讼解决。</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（四）本合同议一式肆份，甲方持贰份，乙方持壹份，另一份交环境保护有关部门备案。</w:t>
      </w:r>
    </w:p>
    <w:p>
      <w:pPr>
        <w:spacing w:line="400" w:lineRule="exact"/>
        <w:ind w:firstLine="315" w:firstLineChars="150"/>
        <w:rPr>
          <w:rFonts w:ascii="宋体" w:hAnsi="宋体" w:cs="宋体"/>
          <w:color w:val="000000"/>
          <w:szCs w:val="21"/>
        </w:rPr>
      </w:pPr>
      <w:r>
        <w:rPr>
          <w:rFonts w:hint="eastAsia" w:ascii="宋体" w:hAnsi="宋体" w:cs="宋体"/>
          <w:color w:val="000000"/>
          <w:szCs w:val="21"/>
        </w:rPr>
        <w:t>（五）本合同经甲方和乙方法定代表人或授权代表签名，并加盖双方公章或业务（合同）专用章方之日起正式生效。</w:t>
      </w:r>
    </w:p>
    <w:p>
      <w:pPr>
        <w:spacing w:line="400" w:lineRule="exact"/>
        <w:ind w:firstLine="315" w:firstLineChars="150"/>
        <w:rPr>
          <w:rFonts w:ascii="宋体" w:hAnsi="宋体" w:cs="宋体"/>
          <w:color w:val="000000"/>
          <w:szCs w:val="21"/>
        </w:rPr>
      </w:pPr>
      <w:r>
        <w:rPr>
          <w:rFonts w:hint="eastAsia" w:ascii="宋体" w:hAnsi="宋体" w:cs="宋体"/>
          <w:bCs/>
          <w:color w:val="000000"/>
          <w:szCs w:val="21"/>
        </w:rPr>
        <w:t>（</w:t>
      </w:r>
      <w:r>
        <w:rPr>
          <w:rFonts w:hint="eastAsia" w:ascii="宋体" w:hAnsi="宋体" w:cs="宋体"/>
          <w:color w:val="000000"/>
          <w:szCs w:val="21"/>
        </w:rPr>
        <w:t>六）本合同的附件如下，与本合同具有同等法律效力：</w:t>
      </w:r>
    </w:p>
    <w:p>
      <w:pPr>
        <w:spacing w:line="400" w:lineRule="exact"/>
        <w:ind w:firstLine="630" w:firstLineChars="300"/>
        <w:rPr>
          <w:rFonts w:ascii="宋体" w:hAnsi="宋体" w:cs="宋体"/>
          <w:color w:val="000000"/>
          <w:szCs w:val="21"/>
        </w:rPr>
      </w:pPr>
      <w:r>
        <w:rPr>
          <w:rFonts w:hint="eastAsia" w:ascii="宋体" w:hAnsi="宋体" w:cs="宋体"/>
          <w:color w:val="000000"/>
          <w:szCs w:val="21"/>
        </w:rPr>
        <w:t>1、危废处理处置品种及收费标准（附件一）；</w:t>
      </w:r>
    </w:p>
    <w:p>
      <w:pPr>
        <w:spacing w:line="360" w:lineRule="auto"/>
        <w:ind w:firstLine="630" w:firstLineChars="300"/>
        <w:rPr>
          <w:rFonts w:hint="eastAsia" w:ascii="宋体" w:hAnsi="宋体" w:cs="宋体"/>
          <w:color w:val="000000"/>
          <w:szCs w:val="21"/>
        </w:rPr>
      </w:pPr>
      <w:r>
        <w:rPr>
          <w:rFonts w:hint="eastAsia" w:ascii="宋体" w:hAnsi="宋体" w:cs="宋体"/>
          <w:color w:val="000000"/>
          <w:szCs w:val="21"/>
          <w:lang w:val="en-US" w:eastAsia="zh-CN"/>
        </w:rPr>
        <w:t>2</w:t>
      </w:r>
      <w:r>
        <w:rPr>
          <w:rFonts w:hint="eastAsia" w:ascii="宋体" w:hAnsi="宋体" w:cs="宋体"/>
          <w:color w:val="000000"/>
          <w:szCs w:val="21"/>
        </w:rPr>
        <w:t>、</w:t>
      </w:r>
      <w:r>
        <w:rPr>
          <w:rFonts w:ascii="宋体" w:hAnsi="宋体" w:cs="宋体"/>
          <w:color w:val="000000"/>
          <w:szCs w:val="21"/>
        </w:rPr>
        <w:t>廉政及保密协议书</w:t>
      </w:r>
      <w:r>
        <w:rPr>
          <w:rFonts w:hint="eastAsia" w:ascii="宋体" w:hAnsi="宋体" w:cs="宋体"/>
          <w:color w:val="000000"/>
          <w:szCs w:val="21"/>
        </w:rPr>
        <w:t>（附件</w:t>
      </w:r>
      <w:r>
        <w:rPr>
          <w:rFonts w:hint="eastAsia" w:ascii="宋体" w:hAnsi="宋体" w:cs="宋体"/>
          <w:color w:val="000000"/>
          <w:szCs w:val="21"/>
          <w:lang w:val="en-US" w:eastAsia="zh-CN"/>
        </w:rPr>
        <w:t>二</w:t>
      </w:r>
      <w:r>
        <w:rPr>
          <w:rFonts w:hint="eastAsia" w:ascii="宋体" w:hAnsi="宋体" w:cs="宋体"/>
          <w:color w:val="000000"/>
          <w:szCs w:val="21"/>
        </w:rPr>
        <w:t>）。</w:t>
      </w:r>
    </w:p>
    <w:p>
      <w:pPr>
        <w:pStyle w:val="2"/>
        <w:rPr>
          <w:rFonts w:hint="eastAsia"/>
        </w:rPr>
      </w:pPr>
    </w:p>
    <w:p>
      <w:pPr>
        <w:pStyle w:val="2"/>
        <w:ind w:firstLine="630" w:firstLineChars="300"/>
        <w:rPr>
          <w:rFonts w:hint="eastAsia"/>
        </w:rPr>
      </w:pPr>
    </w:p>
    <w:p>
      <w:pPr>
        <w:pStyle w:val="37"/>
        <w:spacing w:line="400" w:lineRule="exact"/>
        <w:jc w:val="left"/>
        <w:rPr>
          <w:rFonts w:ascii="宋体" w:hAnsi="宋体" w:cs="宋体"/>
          <w:b/>
          <w:color w:val="000000"/>
          <w:szCs w:val="21"/>
        </w:rPr>
      </w:pPr>
    </w:p>
    <w:p>
      <w:pPr>
        <w:pStyle w:val="37"/>
        <w:spacing w:line="400" w:lineRule="exact"/>
        <w:jc w:val="left"/>
        <w:rPr>
          <w:rFonts w:ascii="宋体" w:hAnsi="宋体" w:cs="宋体"/>
          <w:color w:val="000000"/>
          <w:szCs w:val="21"/>
        </w:rPr>
      </w:pPr>
      <w:r>
        <w:rPr>
          <w:rFonts w:hint="eastAsia" w:ascii="宋体" w:hAnsi="宋体" w:cs="宋体"/>
          <w:color w:val="000000"/>
          <w:szCs w:val="21"/>
        </w:rPr>
        <w:t>甲方盖章：                                     乙方盖章：</w:t>
      </w:r>
    </w:p>
    <w:p>
      <w:pPr>
        <w:pStyle w:val="37"/>
        <w:spacing w:line="400" w:lineRule="exact"/>
        <w:jc w:val="left"/>
        <w:rPr>
          <w:rFonts w:ascii="宋体" w:hAnsi="宋体" w:cs="宋体"/>
          <w:color w:val="000000"/>
          <w:szCs w:val="21"/>
        </w:rPr>
      </w:pPr>
      <w:r>
        <w:rPr>
          <w:rFonts w:hint="eastAsia" w:ascii="宋体" w:hAnsi="宋体" w:cs="宋体"/>
          <w:color w:val="000000"/>
          <w:szCs w:val="21"/>
        </w:rPr>
        <w:t>法定代表人/授权代表（签字或盖章）：            法定代表人/授权代表（签字或盖章）</w:t>
      </w:r>
    </w:p>
    <w:p>
      <w:pPr>
        <w:pStyle w:val="37"/>
        <w:spacing w:line="400" w:lineRule="exact"/>
        <w:jc w:val="left"/>
        <w:rPr>
          <w:rFonts w:ascii="宋体" w:hAnsi="宋体" w:cs="宋体"/>
          <w:color w:val="000000"/>
          <w:szCs w:val="21"/>
        </w:rPr>
      </w:pPr>
      <w:r>
        <w:rPr>
          <w:rFonts w:hint="eastAsia" w:ascii="宋体" w:hAnsi="宋体" w:cs="宋体"/>
          <w:color w:val="000000"/>
          <w:szCs w:val="21"/>
        </w:rPr>
        <w:t>付款银行：                                     收款银行：</w:t>
      </w:r>
    </w:p>
    <w:p>
      <w:pPr>
        <w:pStyle w:val="37"/>
        <w:spacing w:line="400" w:lineRule="exact"/>
        <w:jc w:val="left"/>
        <w:rPr>
          <w:rFonts w:ascii="宋体" w:hAnsi="宋体" w:cs="宋体"/>
          <w:color w:val="000000"/>
          <w:szCs w:val="21"/>
        </w:rPr>
      </w:pPr>
      <w:r>
        <w:rPr>
          <w:rFonts w:hint="eastAsia" w:ascii="宋体" w:hAnsi="宋体" w:cs="宋体"/>
          <w:color w:val="000000"/>
          <w:szCs w:val="21"/>
        </w:rPr>
        <w:t>银行账号：                                     银行账号：</w:t>
      </w:r>
    </w:p>
    <w:p>
      <w:pPr>
        <w:spacing w:line="400" w:lineRule="exact"/>
        <w:rPr>
          <w:rFonts w:hint="eastAsia" w:ascii="宋体" w:hAnsi="宋体" w:cs="宋体"/>
          <w:color w:val="000000"/>
          <w:szCs w:val="21"/>
        </w:rPr>
      </w:pPr>
      <w:r>
        <w:rPr>
          <w:rFonts w:hint="eastAsia" w:ascii="宋体" w:hAnsi="宋体" w:cs="宋体"/>
          <w:color w:val="000000"/>
          <w:szCs w:val="21"/>
        </w:rPr>
        <w:t xml:space="preserve">                                               </w:t>
      </w:r>
    </w:p>
    <w:p>
      <w:pPr>
        <w:spacing w:line="400" w:lineRule="exact"/>
        <w:rPr>
          <w:rFonts w:ascii="宋体" w:hAnsi="宋体" w:cs="宋体"/>
          <w:b/>
          <w:color w:val="FF0000"/>
          <w:szCs w:val="21"/>
        </w:rPr>
      </w:pPr>
      <w:r>
        <w:rPr>
          <w:rFonts w:hint="eastAsia" w:ascii="宋体" w:hAnsi="宋体" w:cs="宋体"/>
          <w:color w:val="000000"/>
          <w:szCs w:val="21"/>
        </w:rPr>
        <w:t>签订日期</w:t>
      </w:r>
      <w:r>
        <w:rPr>
          <w:rFonts w:hint="eastAsia" w:ascii="宋体" w:hAnsi="宋体" w:cs="宋体"/>
          <w:b/>
          <w:color w:val="000000"/>
          <w:szCs w:val="21"/>
        </w:rPr>
        <w:t>：</w:t>
      </w:r>
    </w:p>
    <w:p>
      <w:pPr>
        <w:rPr>
          <w:rFonts w:eastAsia="黑体"/>
          <w:b/>
          <w:bCs/>
          <w:sz w:val="44"/>
        </w:rPr>
      </w:pPr>
    </w:p>
    <w:p>
      <w:pPr>
        <w:rPr>
          <w:rFonts w:eastAsia="黑体"/>
          <w:b/>
          <w:bCs/>
          <w:sz w:val="44"/>
        </w:rPr>
      </w:pPr>
    </w:p>
    <w:p>
      <w:pPr>
        <w:widowControl/>
        <w:jc w:val="center"/>
        <w:rPr>
          <w:rFonts w:ascii="Arial" w:hAnsi="Arial" w:cs="Arial"/>
          <w:b/>
          <w:color w:val="000000"/>
          <w:sz w:val="24"/>
          <w:szCs w:val="24"/>
        </w:rPr>
      </w:pPr>
      <w:r>
        <w:rPr>
          <w:rFonts w:ascii="Arial" w:hAnsi="Arial" w:cs="Arial"/>
          <w:b/>
          <w:color w:val="000000"/>
          <w:sz w:val="24"/>
          <w:szCs w:val="24"/>
        </w:rPr>
        <w:br w:type="page"/>
      </w:r>
    </w:p>
    <w:p>
      <w:pPr>
        <w:adjustRightInd w:val="0"/>
        <w:snapToGrid w:val="0"/>
        <w:spacing w:line="360" w:lineRule="auto"/>
        <w:ind w:firstLine="410" w:firstLineChars="170"/>
        <w:rPr>
          <w:rFonts w:ascii="Arial" w:hAnsi="Arial" w:cs="Arial"/>
          <w:b/>
          <w:color w:val="000000"/>
          <w:sz w:val="24"/>
          <w:szCs w:val="24"/>
        </w:rPr>
      </w:pPr>
      <w:r>
        <w:rPr>
          <w:rFonts w:hint="eastAsia" w:ascii="Arial" w:hAnsi="Arial" w:cs="Arial"/>
          <w:b/>
          <w:color w:val="000000"/>
          <w:sz w:val="24"/>
          <w:szCs w:val="24"/>
        </w:rPr>
        <w:t>附件1：</w:t>
      </w:r>
    </w:p>
    <w:p>
      <w:pPr>
        <w:widowControl/>
        <w:jc w:val="center"/>
        <w:rPr>
          <w:rFonts w:ascii="长城小标宋体" w:eastAsia="长城小标宋体" w:cs="宋体"/>
          <w:sz w:val="32"/>
          <w:szCs w:val="32"/>
        </w:rPr>
      </w:pPr>
      <w:r>
        <w:rPr>
          <w:rFonts w:hint="eastAsia" w:ascii="长城小标宋体" w:eastAsia="长城小标宋体" w:cs="宋体"/>
          <w:sz w:val="32"/>
          <w:szCs w:val="32"/>
        </w:rPr>
        <w:t>危废处理处置品种及收费标准</w:t>
      </w:r>
    </w:p>
    <w:p>
      <w:pPr>
        <w:ind w:firstLine="6606" w:firstLineChars="3146"/>
        <w:rPr>
          <w:rFonts w:ascii="宋体" w:hAnsi="宋体" w:cs="宋体"/>
          <w:szCs w:val="21"/>
        </w:rPr>
      </w:pPr>
      <w:r>
        <w:rPr>
          <w:rFonts w:hint="eastAsia" w:ascii="宋体" w:hAnsi="宋体" w:cs="宋体"/>
          <w:bCs/>
          <w:szCs w:val="21"/>
        </w:rPr>
        <w:t>合同编制号：</w:t>
      </w:r>
    </w:p>
    <w:tbl>
      <w:tblPr>
        <w:tblStyle w:val="16"/>
        <w:tblW w:w="481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1743"/>
        <w:gridCol w:w="1457"/>
        <w:gridCol w:w="1200"/>
        <w:gridCol w:w="1107"/>
        <w:gridCol w:w="1637"/>
        <w:gridCol w:w="10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343" w:type="pct"/>
            <w:noWrap w:val="0"/>
            <w:vAlign w:val="center"/>
          </w:tcPr>
          <w:p>
            <w:pPr>
              <w:pStyle w:val="37"/>
              <w:rPr>
                <w:rFonts w:ascii="宋体" w:hAnsi="宋体" w:cs="宋体"/>
                <w:szCs w:val="21"/>
              </w:rPr>
            </w:pPr>
            <w:r>
              <w:rPr>
                <w:rFonts w:hint="eastAsia" w:ascii="宋体" w:hAnsi="宋体" w:cs="宋体"/>
                <w:szCs w:val="21"/>
              </w:rPr>
              <w:t>序号</w:t>
            </w:r>
          </w:p>
        </w:tc>
        <w:tc>
          <w:tcPr>
            <w:tcW w:w="993" w:type="pct"/>
            <w:noWrap w:val="0"/>
            <w:vAlign w:val="center"/>
          </w:tcPr>
          <w:p>
            <w:pPr>
              <w:pStyle w:val="37"/>
              <w:rPr>
                <w:rFonts w:ascii="宋体" w:hAnsi="宋体" w:cs="宋体"/>
                <w:szCs w:val="21"/>
              </w:rPr>
            </w:pPr>
            <w:r>
              <w:rPr>
                <w:rFonts w:hint="eastAsia" w:ascii="宋体" w:hAnsi="宋体" w:cs="宋体"/>
                <w:szCs w:val="21"/>
              </w:rPr>
              <w:t>名称</w:t>
            </w:r>
          </w:p>
        </w:tc>
        <w:tc>
          <w:tcPr>
            <w:tcW w:w="830" w:type="pct"/>
            <w:noWrap w:val="0"/>
            <w:vAlign w:val="center"/>
          </w:tcPr>
          <w:p>
            <w:pPr>
              <w:pStyle w:val="37"/>
              <w:rPr>
                <w:rFonts w:ascii="宋体" w:hAnsi="宋体" w:cs="宋体"/>
                <w:szCs w:val="21"/>
              </w:rPr>
            </w:pPr>
            <w:r>
              <w:rPr>
                <w:rFonts w:hint="eastAsia" w:ascii="宋体" w:hAnsi="宋体" w:cs="宋体"/>
                <w:szCs w:val="21"/>
              </w:rPr>
              <w:t>危废类别</w:t>
            </w:r>
          </w:p>
        </w:tc>
        <w:tc>
          <w:tcPr>
            <w:tcW w:w="684" w:type="pct"/>
            <w:noWrap w:val="0"/>
            <w:vAlign w:val="center"/>
          </w:tcPr>
          <w:p>
            <w:pPr>
              <w:pStyle w:val="37"/>
              <w:rPr>
                <w:rFonts w:ascii="宋体" w:hAnsi="宋体" w:cs="宋体"/>
                <w:szCs w:val="21"/>
              </w:rPr>
            </w:pPr>
            <w:r>
              <w:rPr>
                <w:rFonts w:hint="eastAsia" w:ascii="宋体" w:hAnsi="宋体" w:cs="宋体"/>
                <w:szCs w:val="21"/>
              </w:rPr>
              <w:t>预计</w:t>
            </w:r>
          </w:p>
          <w:p>
            <w:pPr>
              <w:pStyle w:val="37"/>
              <w:rPr>
                <w:rFonts w:ascii="宋体" w:hAnsi="宋体" w:cs="宋体"/>
                <w:szCs w:val="21"/>
              </w:rPr>
            </w:pPr>
            <w:r>
              <w:rPr>
                <w:rFonts w:hint="eastAsia" w:ascii="宋体" w:hAnsi="宋体" w:cs="宋体"/>
                <w:szCs w:val="21"/>
              </w:rPr>
              <w:t>产生量</w:t>
            </w:r>
          </w:p>
        </w:tc>
        <w:tc>
          <w:tcPr>
            <w:tcW w:w="631" w:type="pct"/>
            <w:noWrap w:val="0"/>
            <w:vAlign w:val="center"/>
          </w:tcPr>
          <w:p>
            <w:pPr>
              <w:pStyle w:val="37"/>
              <w:rPr>
                <w:rFonts w:ascii="宋体" w:hAnsi="宋体" w:cs="宋体"/>
                <w:szCs w:val="21"/>
              </w:rPr>
            </w:pPr>
            <w:r>
              <w:rPr>
                <w:rFonts w:hint="eastAsia" w:ascii="宋体" w:hAnsi="宋体" w:cs="宋体"/>
                <w:szCs w:val="21"/>
              </w:rPr>
              <w:t>包装</w:t>
            </w:r>
          </w:p>
          <w:p>
            <w:pPr>
              <w:pStyle w:val="37"/>
              <w:rPr>
                <w:rFonts w:ascii="宋体" w:hAnsi="宋体" w:cs="宋体"/>
                <w:szCs w:val="21"/>
              </w:rPr>
            </w:pPr>
            <w:r>
              <w:rPr>
                <w:rFonts w:hint="eastAsia" w:ascii="宋体" w:hAnsi="宋体" w:cs="宋体"/>
                <w:szCs w:val="21"/>
              </w:rPr>
              <w:t>方式</w:t>
            </w:r>
          </w:p>
        </w:tc>
        <w:tc>
          <w:tcPr>
            <w:tcW w:w="933" w:type="pct"/>
            <w:noWrap w:val="0"/>
            <w:vAlign w:val="center"/>
          </w:tcPr>
          <w:p>
            <w:pPr>
              <w:pStyle w:val="37"/>
              <w:rPr>
                <w:rFonts w:ascii="宋体" w:hAnsi="宋体" w:cs="宋体"/>
                <w:szCs w:val="21"/>
              </w:rPr>
            </w:pPr>
            <w:r>
              <w:rPr>
                <w:rFonts w:hint="eastAsia" w:ascii="宋体" w:hAnsi="宋体" w:cs="宋体"/>
                <w:szCs w:val="21"/>
              </w:rPr>
              <w:t>单价（含税）</w:t>
            </w:r>
          </w:p>
        </w:tc>
        <w:tc>
          <w:tcPr>
            <w:tcW w:w="586" w:type="pct"/>
            <w:noWrap w:val="0"/>
            <w:vAlign w:val="center"/>
          </w:tcPr>
          <w:p>
            <w:pPr>
              <w:pStyle w:val="37"/>
              <w:rPr>
                <w:rFonts w:ascii="宋体" w:hAnsi="宋体" w:cs="宋体"/>
                <w:szCs w:val="21"/>
              </w:rPr>
            </w:pPr>
            <w:r>
              <w:rPr>
                <w:rFonts w:hint="eastAsia" w:ascii="宋体" w:hAnsi="宋体" w:cs="宋体"/>
                <w:szCs w:val="21"/>
              </w:rPr>
              <w:t>付款方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6" w:hRule="exact"/>
          <w:jc w:val="center"/>
        </w:trPr>
        <w:tc>
          <w:tcPr>
            <w:tcW w:w="343" w:type="pct"/>
            <w:noWrap w:val="0"/>
            <w:vAlign w:val="center"/>
          </w:tcPr>
          <w:p>
            <w:pPr>
              <w:pStyle w:val="37"/>
              <w:rPr>
                <w:rFonts w:ascii="宋体" w:hAnsi="宋体" w:cs="宋体"/>
                <w:szCs w:val="21"/>
              </w:rPr>
            </w:pPr>
            <w:r>
              <w:rPr>
                <w:rFonts w:hint="eastAsia" w:ascii="宋体" w:hAnsi="宋体" w:cs="宋体"/>
                <w:szCs w:val="21"/>
              </w:rPr>
              <w:t>1</w:t>
            </w:r>
          </w:p>
        </w:tc>
        <w:tc>
          <w:tcPr>
            <w:tcW w:w="993" w:type="pct"/>
            <w:noWrap w:val="0"/>
            <w:vAlign w:val="center"/>
          </w:tcPr>
          <w:p>
            <w:pPr>
              <w:pStyle w:val="37"/>
              <w:rPr>
                <w:rFonts w:ascii="宋体" w:hAnsi="宋体" w:cs="宋体"/>
                <w:szCs w:val="21"/>
              </w:rPr>
            </w:pPr>
          </w:p>
        </w:tc>
        <w:tc>
          <w:tcPr>
            <w:tcW w:w="830" w:type="pct"/>
            <w:noWrap w:val="0"/>
            <w:vAlign w:val="center"/>
          </w:tcPr>
          <w:p>
            <w:pPr>
              <w:pStyle w:val="37"/>
              <w:rPr>
                <w:rFonts w:ascii="宋体" w:hAnsi="宋体" w:cs="宋体"/>
                <w:szCs w:val="21"/>
              </w:rPr>
            </w:pPr>
          </w:p>
        </w:tc>
        <w:tc>
          <w:tcPr>
            <w:tcW w:w="684" w:type="pct"/>
            <w:noWrap w:val="0"/>
            <w:vAlign w:val="center"/>
          </w:tcPr>
          <w:p>
            <w:pPr>
              <w:pStyle w:val="37"/>
              <w:ind w:firstLine="210" w:firstLineChars="100"/>
              <w:jc w:val="both"/>
              <w:rPr>
                <w:rFonts w:ascii="宋体" w:hAnsi="宋体" w:cs="宋体"/>
                <w:szCs w:val="21"/>
              </w:rPr>
            </w:pPr>
          </w:p>
        </w:tc>
        <w:tc>
          <w:tcPr>
            <w:tcW w:w="631" w:type="pct"/>
            <w:noWrap w:val="0"/>
            <w:vAlign w:val="center"/>
          </w:tcPr>
          <w:p>
            <w:pPr>
              <w:pStyle w:val="37"/>
              <w:rPr>
                <w:rFonts w:ascii="宋体" w:hAnsi="宋体" w:cs="宋体"/>
                <w:szCs w:val="21"/>
              </w:rPr>
            </w:pPr>
          </w:p>
        </w:tc>
        <w:tc>
          <w:tcPr>
            <w:tcW w:w="933" w:type="pct"/>
            <w:noWrap w:val="0"/>
            <w:vAlign w:val="center"/>
          </w:tcPr>
          <w:p>
            <w:pPr>
              <w:pStyle w:val="37"/>
              <w:rPr>
                <w:rFonts w:ascii="宋体" w:hAnsi="宋体" w:cs="宋体"/>
                <w:szCs w:val="21"/>
              </w:rPr>
            </w:pPr>
          </w:p>
        </w:tc>
        <w:tc>
          <w:tcPr>
            <w:tcW w:w="586" w:type="pct"/>
            <w:vMerge w:val="restart"/>
            <w:noWrap w:val="0"/>
            <w:vAlign w:val="center"/>
          </w:tcPr>
          <w:p>
            <w:pPr>
              <w:pStyle w:val="37"/>
              <w:ind w:firstLine="210" w:firstLineChars="100"/>
              <w:jc w:val="both"/>
              <w:rPr>
                <w:rFonts w:ascii="宋体" w:hAnsi="宋体" w:cs="宋体"/>
                <w:szCs w:val="21"/>
                <w:u w:val="single"/>
              </w:rPr>
            </w:pPr>
            <w:r>
              <w:rPr>
                <w:rFonts w:hint="eastAsia" w:ascii="宋体" w:hAnsi="宋体" w:cs="宋体"/>
                <w:szCs w:val="21"/>
              </w:rPr>
              <w:t>甲方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hint="eastAsia" w:ascii="宋体" w:hAnsi="宋体" w:cs="宋体"/>
                <w:szCs w:val="21"/>
              </w:rPr>
              <w:t>2</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hint="eastAsia" w:ascii="宋体" w:hAnsi="宋体" w:cs="宋体"/>
                <w:szCs w:val="21"/>
              </w:rPr>
              <w:t>3</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hint="eastAsia" w:ascii="宋体" w:hAnsi="宋体" w:cs="宋体"/>
                <w:szCs w:val="21"/>
              </w:rPr>
              <w:t>4</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hint="eastAsia" w:ascii="宋体" w:hAnsi="宋体" w:cs="宋体"/>
                <w:szCs w:val="21"/>
              </w:rPr>
              <w:t>5</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hint="eastAsia" w:ascii="宋体" w:hAnsi="宋体" w:cs="宋体"/>
                <w:szCs w:val="21"/>
              </w:rPr>
              <w:t>6</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hint="eastAsia" w:ascii="宋体" w:hAnsi="宋体" w:cs="宋体"/>
                <w:szCs w:val="21"/>
              </w:rPr>
              <w:t>7</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ascii="宋体" w:hAnsi="宋体" w:cs="宋体"/>
                <w:szCs w:val="21"/>
              </w:rPr>
              <w:t>8</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ascii="宋体" w:hAnsi="宋体" w:cs="宋体"/>
                <w:szCs w:val="21"/>
              </w:rPr>
              <w:t>9</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ascii="宋体" w:hAnsi="宋体" w:cs="宋体"/>
                <w:szCs w:val="21"/>
              </w:rPr>
              <w:t>10</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ascii="宋体" w:hAnsi="宋体" w:cs="宋体"/>
                <w:szCs w:val="21"/>
              </w:rPr>
              <w:t>11</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343" w:type="pct"/>
            <w:noWrap w:val="0"/>
            <w:vAlign w:val="center"/>
          </w:tcPr>
          <w:p>
            <w:pPr>
              <w:pStyle w:val="37"/>
              <w:rPr>
                <w:rFonts w:ascii="宋体" w:hAnsi="宋体" w:cs="宋体"/>
                <w:szCs w:val="21"/>
              </w:rPr>
            </w:pPr>
            <w:r>
              <w:rPr>
                <w:rFonts w:ascii="宋体" w:hAnsi="宋体" w:cs="宋体"/>
                <w:szCs w:val="21"/>
              </w:rPr>
              <w:t>12</w:t>
            </w:r>
          </w:p>
        </w:tc>
        <w:tc>
          <w:tcPr>
            <w:tcW w:w="993" w:type="pct"/>
            <w:noWrap w:val="0"/>
            <w:vAlign w:val="center"/>
          </w:tcPr>
          <w:p>
            <w:pPr>
              <w:pStyle w:val="37"/>
              <w:jc w:val="both"/>
              <w:rPr>
                <w:rFonts w:ascii="宋体" w:hAnsi="宋体" w:cs="宋体"/>
                <w:szCs w:val="21"/>
              </w:rPr>
            </w:pPr>
          </w:p>
        </w:tc>
        <w:tc>
          <w:tcPr>
            <w:tcW w:w="830" w:type="pct"/>
            <w:noWrap w:val="0"/>
            <w:vAlign w:val="center"/>
          </w:tcPr>
          <w:p>
            <w:pPr>
              <w:pStyle w:val="37"/>
              <w:jc w:val="both"/>
              <w:rPr>
                <w:rFonts w:ascii="宋体" w:hAnsi="宋体" w:cs="宋体"/>
                <w:szCs w:val="21"/>
              </w:rPr>
            </w:pPr>
          </w:p>
        </w:tc>
        <w:tc>
          <w:tcPr>
            <w:tcW w:w="684" w:type="pct"/>
            <w:noWrap w:val="0"/>
            <w:vAlign w:val="center"/>
          </w:tcPr>
          <w:p>
            <w:pPr>
              <w:pStyle w:val="37"/>
              <w:jc w:val="both"/>
              <w:rPr>
                <w:rFonts w:ascii="宋体" w:hAnsi="宋体" w:cs="宋体"/>
                <w:szCs w:val="21"/>
              </w:rPr>
            </w:pPr>
          </w:p>
        </w:tc>
        <w:tc>
          <w:tcPr>
            <w:tcW w:w="631" w:type="pct"/>
            <w:noWrap w:val="0"/>
            <w:vAlign w:val="center"/>
          </w:tcPr>
          <w:p>
            <w:pPr>
              <w:pStyle w:val="37"/>
              <w:jc w:val="both"/>
              <w:rPr>
                <w:rFonts w:ascii="宋体" w:hAnsi="宋体" w:cs="宋体"/>
                <w:szCs w:val="21"/>
              </w:rPr>
            </w:pPr>
          </w:p>
        </w:tc>
        <w:tc>
          <w:tcPr>
            <w:tcW w:w="933" w:type="pct"/>
            <w:noWrap w:val="0"/>
            <w:vAlign w:val="center"/>
          </w:tcPr>
          <w:p>
            <w:pPr>
              <w:pStyle w:val="37"/>
              <w:jc w:val="both"/>
              <w:rPr>
                <w:rFonts w:ascii="宋体" w:hAnsi="宋体" w:cs="宋体"/>
                <w:szCs w:val="21"/>
              </w:rPr>
            </w:pPr>
          </w:p>
        </w:tc>
        <w:tc>
          <w:tcPr>
            <w:tcW w:w="586" w:type="pct"/>
            <w:vMerge w:val="continue"/>
            <w:noWrap w:val="0"/>
            <w:vAlign w:val="center"/>
          </w:tcPr>
          <w:p>
            <w:pPr>
              <w:pStyle w:val="37"/>
              <w:jc w:val="both"/>
              <w:rPr>
                <w:rFonts w:ascii="宋体" w:hAnsi="宋体" w:cs="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17" w:hRule="exact"/>
          <w:jc w:val="center"/>
        </w:trPr>
        <w:tc>
          <w:tcPr>
            <w:tcW w:w="343" w:type="pct"/>
            <w:noWrap w:val="0"/>
            <w:vAlign w:val="center"/>
          </w:tcPr>
          <w:p>
            <w:pPr>
              <w:pStyle w:val="37"/>
              <w:jc w:val="both"/>
              <w:rPr>
                <w:rFonts w:ascii="宋体" w:hAnsi="宋体" w:cs="宋体"/>
                <w:szCs w:val="21"/>
                <w:u w:val="single"/>
              </w:rPr>
            </w:pPr>
            <w:r>
              <w:rPr>
                <w:rFonts w:hint="eastAsia" w:ascii="宋体" w:hAnsi="宋体" w:cs="宋体"/>
                <w:szCs w:val="21"/>
                <w:u w:val="single"/>
              </w:rPr>
              <w:t>备注</w:t>
            </w:r>
          </w:p>
        </w:tc>
        <w:tc>
          <w:tcPr>
            <w:tcW w:w="4657" w:type="pct"/>
            <w:gridSpan w:val="6"/>
            <w:noWrap w:val="0"/>
            <w:vAlign w:val="top"/>
          </w:tcPr>
          <w:p>
            <w:pPr>
              <w:pStyle w:val="37"/>
              <w:jc w:val="both"/>
              <w:rPr>
                <w:rFonts w:ascii="宋体" w:hAnsi="宋体" w:cs="宋体"/>
                <w:szCs w:val="21"/>
              </w:rPr>
            </w:pPr>
            <w:r>
              <w:rPr>
                <w:rFonts w:hint="eastAsia" w:ascii="宋体" w:hAnsi="宋体" w:cs="宋体"/>
                <w:szCs w:val="21"/>
              </w:rPr>
              <w:t>1、</w:t>
            </w:r>
            <w:r>
              <w:rPr>
                <w:rFonts w:hint="eastAsia" w:ascii="宋体" w:hAnsi="宋体" w:cs="宋体"/>
                <w:bCs/>
                <w:szCs w:val="21"/>
              </w:rPr>
              <w:t>以实际接收数量结算为据</w:t>
            </w:r>
            <w:r>
              <w:rPr>
                <w:rFonts w:hint="eastAsia" w:ascii="宋体" w:hAnsi="宋体" w:cs="宋体"/>
                <w:szCs w:val="21"/>
              </w:rPr>
              <w:t>；</w:t>
            </w:r>
          </w:p>
          <w:p>
            <w:pPr>
              <w:pStyle w:val="37"/>
              <w:jc w:val="both"/>
              <w:rPr>
                <w:rFonts w:ascii="宋体" w:hAnsi="宋体" w:cs="宋体"/>
                <w:szCs w:val="21"/>
              </w:rPr>
            </w:pPr>
            <w:r>
              <w:rPr>
                <w:rFonts w:hint="eastAsia" w:ascii="宋体" w:hAnsi="宋体" w:cs="宋体"/>
                <w:szCs w:val="21"/>
              </w:rPr>
              <w:t>2、以上价格含清运服务费，由</w:t>
            </w:r>
            <w:r>
              <w:rPr>
                <w:rFonts w:hint="eastAsia" w:ascii="宋体" w:hAnsi="宋体" w:cs="宋体"/>
                <w:szCs w:val="21"/>
                <w:lang w:eastAsia="zh-CN"/>
              </w:rPr>
              <w:t>乙</w:t>
            </w:r>
            <w:r>
              <w:rPr>
                <w:rFonts w:hint="eastAsia" w:ascii="宋体" w:hAnsi="宋体" w:cs="宋体"/>
                <w:szCs w:val="21"/>
              </w:rPr>
              <w:t>方自行联系有资质的清运公司清运该危废并</w:t>
            </w:r>
            <w:r>
              <w:rPr>
                <w:rFonts w:ascii="宋体" w:hAnsi="宋体" w:cs="宋体"/>
                <w:szCs w:val="21"/>
              </w:rPr>
              <w:t>承担清运费，甲方</w:t>
            </w:r>
            <w:r>
              <w:rPr>
                <w:rFonts w:hint="eastAsia" w:ascii="宋体" w:hAnsi="宋体" w:cs="宋体"/>
                <w:szCs w:val="21"/>
              </w:rPr>
              <w:t>则应提前</w:t>
            </w:r>
            <w:r>
              <w:rPr>
                <w:rFonts w:hint="eastAsia" w:ascii="宋体" w:hAnsi="宋体" w:cs="宋体"/>
                <w:szCs w:val="21"/>
                <w:lang w:val="en-US" w:eastAsia="zh-CN"/>
              </w:rPr>
              <w:t>三</w:t>
            </w:r>
            <w:r>
              <w:rPr>
                <w:rFonts w:hint="eastAsia" w:ascii="宋体" w:hAnsi="宋体" w:cs="宋体"/>
                <w:szCs w:val="21"/>
              </w:rPr>
              <w:t>个工作日通知乙方，以便乙方做好入库准备；</w:t>
            </w:r>
          </w:p>
          <w:p>
            <w:pPr>
              <w:pStyle w:val="37"/>
              <w:jc w:val="both"/>
              <w:rPr>
                <w:rFonts w:ascii="宋体" w:hAnsi="宋体" w:cs="宋体"/>
                <w:szCs w:val="21"/>
              </w:rPr>
            </w:pPr>
            <w:r>
              <w:rPr>
                <w:rFonts w:hint="eastAsia" w:ascii="宋体" w:hAnsi="宋体" w:cs="宋体"/>
                <w:szCs w:val="21"/>
              </w:rPr>
              <w:t>3、请甲方将各类废物分开包装、存放，做好标签标识；</w:t>
            </w:r>
          </w:p>
          <w:p>
            <w:pPr>
              <w:pStyle w:val="37"/>
              <w:jc w:val="both"/>
              <w:rPr>
                <w:rFonts w:ascii="宋体" w:hAnsi="宋体" w:cs="宋体"/>
                <w:szCs w:val="21"/>
              </w:rPr>
            </w:pPr>
            <w:r>
              <w:rPr>
                <w:rFonts w:hint="eastAsia" w:ascii="宋体" w:hAnsi="宋体" w:cs="宋体"/>
                <w:szCs w:val="21"/>
              </w:rPr>
              <w:t>4、此报价单包含供需双方商业机密，仅限于内部存档，不得向外提供！</w:t>
            </w:r>
          </w:p>
          <w:p>
            <w:pPr>
              <w:pStyle w:val="37"/>
              <w:jc w:val="both"/>
              <w:rPr>
                <w:rFonts w:ascii="宋体" w:hAnsi="宋体" w:cs="宋体"/>
                <w:szCs w:val="21"/>
              </w:rPr>
            </w:pPr>
            <w:r>
              <w:rPr>
                <w:rFonts w:hint="eastAsia" w:ascii="宋体" w:hAnsi="宋体" w:cs="宋体"/>
                <w:szCs w:val="21"/>
              </w:rPr>
              <w:t>5、此报价单为甲乙双方于    年    月    日签署的《危险废物委托处置合同》的结算依据。</w:t>
            </w:r>
          </w:p>
        </w:tc>
      </w:tr>
    </w:tbl>
    <w:p>
      <w:pPr>
        <w:ind w:firstLine="482"/>
        <w:rPr>
          <w:rFonts w:ascii="宋体" w:hAnsi="宋体" w:cs="宋体"/>
          <w:b/>
          <w:szCs w:val="21"/>
        </w:rPr>
      </w:pPr>
    </w:p>
    <w:p>
      <w:pPr>
        <w:ind w:firstLine="480"/>
        <w:rPr>
          <w:rFonts w:ascii="宋体" w:hAnsi="宋体" w:cs="宋体"/>
          <w:szCs w:val="21"/>
        </w:rPr>
      </w:pPr>
      <w:r>
        <w:rPr>
          <w:rFonts w:hint="eastAsia" w:ascii="宋体" w:hAnsi="宋体" w:cs="宋体"/>
          <w:szCs w:val="21"/>
        </w:rPr>
        <w:t>甲方盖章:                                          乙方盖章：</w:t>
      </w:r>
    </w:p>
    <w:p>
      <w:pPr>
        <w:adjustRightInd w:val="0"/>
        <w:snapToGrid w:val="0"/>
        <w:spacing w:line="360" w:lineRule="auto"/>
        <w:ind w:firstLine="410" w:firstLineChars="170"/>
        <w:rPr>
          <w:rFonts w:ascii="Arial" w:hAnsi="Arial" w:cs="Arial"/>
          <w:b/>
          <w:color w:val="000000"/>
          <w:sz w:val="24"/>
          <w:szCs w:val="24"/>
        </w:rPr>
      </w:pPr>
    </w:p>
    <w:p>
      <w:pPr>
        <w:adjustRightInd w:val="0"/>
        <w:snapToGrid w:val="0"/>
        <w:spacing w:line="360" w:lineRule="auto"/>
        <w:ind w:firstLine="410" w:firstLineChars="170"/>
        <w:rPr>
          <w:rFonts w:ascii="Arial" w:hAnsi="Arial" w:cs="Arial"/>
          <w:b/>
          <w:color w:val="000000"/>
          <w:sz w:val="24"/>
          <w:szCs w:val="24"/>
        </w:rPr>
      </w:pPr>
    </w:p>
    <w:p>
      <w:pPr>
        <w:adjustRightInd w:val="0"/>
        <w:snapToGrid w:val="0"/>
        <w:spacing w:line="360" w:lineRule="auto"/>
        <w:rPr>
          <w:rFonts w:ascii="Arial" w:hAnsi="Arial" w:cs="Arial"/>
          <w:b/>
          <w:color w:val="000000"/>
          <w:sz w:val="24"/>
          <w:szCs w:val="24"/>
        </w:rPr>
      </w:pPr>
    </w:p>
    <w:p>
      <w:pPr>
        <w:adjustRightInd w:val="0"/>
        <w:snapToGrid w:val="0"/>
        <w:spacing w:line="360" w:lineRule="auto"/>
        <w:ind w:firstLine="410" w:firstLineChars="170"/>
        <w:rPr>
          <w:rFonts w:ascii="Arial" w:hAnsi="Arial" w:cs="Arial"/>
          <w:b/>
          <w:color w:val="000000"/>
          <w:sz w:val="24"/>
          <w:szCs w:val="24"/>
        </w:rPr>
      </w:pPr>
    </w:p>
    <w:p>
      <w:pPr>
        <w:spacing w:line="360" w:lineRule="auto"/>
        <w:ind w:firstLine="422" w:firstLineChars="150"/>
        <w:jc w:val="center"/>
        <w:rPr>
          <w:rFonts w:ascii="Arial" w:hAnsi="Arial" w:cs="Arial"/>
          <w:b/>
          <w:color w:val="000000"/>
          <w:sz w:val="28"/>
          <w:szCs w:val="28"/>
          <w:shd w:val="pct10" w:color="auto" w:fill="FFFFFF"/>
        </w:rPr>
      </w:pPr>
      <w:r>
        <w:rPr>
          <w:rFonts w:ascii="Arial" w:hAnsi="Arial" w:cs="Arial"/>
          <w:b/>
          <w:color w:val="000000"/>
          <w:sz w:val="28"/>
          <w:szCs w:val="28"/>
        </w:rPr>
        <w:t>廉政及保密协议书</w:t>
      </w:r>
    </w:p>
    <w:p>
      <w:pPr>
        <w:tabs>
          <w:tab w:val="left" w:pos="0"/>
        </w:tabs>
        <w:adjustRightInd w:val="0"/>
        <w:snapToGrid w:val="0"/>
        <w:spacing w:line="440" w:lineRule="exact"/>
        <w:jc w:val="left"/>
        <w:rPr>
          <w:rFonts w:ascii="Arial" w:hAnsi="Arial" w:cs="Arial"/>
          <w:b/>
          <w:szCs w:val="21"/>
        </w:rPr>
      </w:pPr>
      <w:r>
        <w:rPr>
          <w:rFonts w:ascii="Arial" w:hAnsi="Arial" w:cs="Arial"/>
          <w:b/>
          <w:szCs w:val="21"/>
        </w:rPr>
        <w:t xml:space="preserve">甲方： </w:t>
      </w:r>
    </w:p>
    <w:p>
      <w:pPr>
        <w:tabs>
          <w:tab w:val="left" w:pos="0"/>
        </w:tabs>
        <w:spacing w:line="360" w:lineRule="auto"/>
        <w:jc w:val="left"/>
        <w:rPr>
          <w:rFonts w:ascii="Arial" w:hAnsi="Arial" w:cs="Arial"/>
          <w:b/>
          <w:szCs w:val="21"/>
        </w:rPr>
      </w:pPr>
      <w:r>
        <w:rPr>
          <w:rFonts w:ascii="Arial" w:hAnsi="Arial" w:cs="Arial"/>
          <w:b/>
          <w:szCs w:val="21"/>
        </w:rPr>
        <w:t xml:space="preserve">乙方： </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为加强项目委托服务过程中的廉政建设，规范工作委托服务的各项活动，防止发生各种谋取不正当利益的违法违纪行为，保护国家、集体和当事人的合法权益，根据国家有关法律法规，甲乙双方经协商就廉政建设特签</w:t>
      </w:r>
      <w:r>
        <w:rPr>
          <w:rFonts w:hint="eastAsia" w:ascii="Arial" w:hAnsi="Arial" w:cs="Arial"/>
          <w:color w:val="000000"/>
          <w:szCs w:val="21"/>
        </w:rPr>
        <w:t>订</w:t>
      </w:r>
      <w:r>
        <w:rPr>
          <w:rFonts w:ascii="Arial" w:hAnsi="Arial" w:cs="Arial"/>
          <w:szCs w:val="21"/>
        </w:rPr>
        <w:t>如下条款。</w:t>
      </w:r>
    </w:p>
    <w:p>
      <w:pPr>
        <w:tabs>
          <w:tab w:val="left" w:pos="0"/>
        </w:tabs>
        <w:adjustRightInd w:val="0"/>
        <w:snapToGrid w:val="0"/>
        <w:spacing w:line="440" w:lineRule="exact"/>
        <w:ind w:firstLine="422" w:firstLineChars="200"/>
        <w:rPr>
          <w:rFonts w:ascii="Arial" w:hAnsi="Arial" w:cs="Arial"/>
          <w:b/>
          <w:szCs w:val="21"/>
        </w:rPr>
      </w:pPr>
      <w:r>
        <w:rPr>
          <w:rFonts w:ascii="Arial" w:hAnsi="Arial" w:cs="Arial"/>
          <w:b/>
          <w:szCs w:val="21"/>
        </w:rPr>
        <w:t>一、甲乙双方的</w:t>
      </w:r>
      <w:r>
        <w:rPr>
          <w:rFonts w:ascii="Arial" w:hAnsi="Arial" w:cs="Arial"/>
          <w:b/>
          <w:bCs/>
          <w:szCs w:val="21"/>
        </w:rPr>
        <w:t>权</w:t>
      </w:r>
      <w:r>
        <w:rPr>
          <w:rFonts w:hint="eastAsia" w:ascii="Arial" w:hAnsi="Arial" w:cs="Arial"/>
          <w:b/>
          <w:bCs/>
          <w:szCs w:val="21"/>
        </w:rPr>
        <w:t>利</w:t>
      </w:r>
      <w:r>
        <w:rPr>
          <w:rFonts w:ascii="Arial" w:hAnsi="Arial" w:cs="Arial"/>
          <w:b/>
          <w:szCs w:val="21"/>
        </w:rPr>
        <w:t>和义务</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1、严格遵守党和国家有关法律法规有关规定；</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2、严格执行本项目委托合同，自觉按协议书办事；</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3、双方的业务活动坚持公开、公正、诚信、透明的原则（除法律认定的商业秘密和合同文件另有规定之外），不得损害国家和集体利益，违反</w:t>
      </w:r>
      <w:r>
        <w:rPr>
          <w:rFonts w:hint="eastAsia" w:ascii="Arial" w:hAnsi="Arial" w:cs="Arial"/>
          <w:szCs w:val="21"/>
        </w:rPr>
        <w:t>廉政</w:t>
      </w:r>
      <w:r>
        <w:rPr>
          <w:rFonts w:ascii="Arial" w:hAnsi="Arial" w:cs="Arial"/>
          <w:szCs w:val="21"/>
        </w:rPr>
        <w:t>管理规章制度；</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4、建立健全廉政制度，开展廉政教育，监督并认真查处违法违纪行为；</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5、发现对方在业务活动过程中有违法廉政规定的行为，有及时提醒对方纠正的权利和义务；</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6、发现对方严重违反本合同义务条款的行为，有向其上级有关部门举报、建议给与处理并要求告知处理结果的权利。</w:t>
      </w:r>
    </w:p>
    <w:p>
      <w:pPr>
        <w:tabs>
          <w:tab w:val="left" w:pos="0"/>
        </w:tabs>
        <w:adjustRightInd w:val="0"/>
        <w:snapToGrid w:val="0"/>
        <w:spacing w:line="440" w:lineRule="exact"/>
        <w:ind w:firstLine="422" w:firstLineChars="200"/>
        <w:rPr>
          <w:rFonts w:ascii="Arial" w:hAnsi="Arial" w:cs="Arial"/>
          <w:b/>
          <w:szCs w:val="21"/>
        </w:rPr>
      </w:pPr>
      <w:r>
        <w:rPr>
          <w:rFonts w:ascii="Arial" w:hAnsi="Arial" w:cs="Arial"/>
          <w:b/>
          <w:szCs w:val="21"/>
        </w:rPr>
        <w:t>二、甲方的权</w:t>
      </w:r>
      <w:r>
        <w:rPr>
          <w:rFonts w:hint="eastAsia" w:ascii="Arial" w:hAnsi="Arial" w:cs="Arial"/>
          <w:b/>
          <w:bCs/>
          <w:szCs w:val="21"/>
        </w:rPr>
        <w:t>利</w:t>
      </w:r>
      <w:r>
        <w:rPr>
          <w:rFonts w:ascii="Arial" w:hAnsi="Arial" w:cs="Arial"/>
          <w:b/>
          <w:szCs w:val="21"/>
        </w:rPr>
        <w:t>和义务</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1、甲方及其工作人员不得索要或接受乙方的礼金、有价证券和贵重物品，不得在乙方报销任何应由甲方或个人支付的费用等；</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2、甲方及其工作人员不得参加乙方安排的超标准宴请和娱乐活动，不得接受乙方提供的通讯工具、交通工具和高档办公用品等；</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3、甲方及其工作人员不得要求或者接受乙方为其住房装修、婚丧嫁娶活动、配偶子女的工作安排以及出国出境、旅游等提供方便等；</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4、甲方及其工作人员的配偶、子女不得从事与委托合同范围内的业务。</w:t>
      </w:r>
    </w:p>
    <w:p>
      <w:pPr>
        <w:tabs>
          <w:tab w:val="left" w:pos="0"/>
        </w:tabs>
        <w:adjustRightInd w:val="0"/>
        <w:snapToGrid w:val="0"/>
        <w:spacing w:line="440" w:lineRule="exact"/>
        <w:ind w:firstLine="422" w:firstLineChars="200"/>
        <w:rPr>
          <w:rFonts w:ascii="Arial" w:hAnsi="Arial" w:cs="Arial"/>
          <w:b/>
          <w:szCs w:val="21"/>
        </w:rPr>
      </w:pPr>
      <w:r>
        <w:rPr>
          <w:rFonts w:ascii="Arial" w:hAnsi="Arial" w:cs="Arial"/>
          <w:b/>
          <w:szCs w:val="21"/>
        </w:rPr>
        <w:t>三、乙方的</w:t>
      </w:r>
      <w:r>
        <w:rPr>
          <w:rFonts w:ascii="Arial" w:hAnsi="Arial" w:cs="Arial"/>
          <w:b/>
          <w:bCs/>
          <w:szCs w:val="21"/>
        </w:rPr>
        <w:t>权</w:t>
      </w:r>
      <w:r>
        <w:rPr>
          <w:rFonts w:hint="eastAsia" w:ascii="Arial" w:hAnsi="Arial" w:cs="Arial"/>
          <w:b/>
          <w:bCs/>
          <w:szCs w:val="21"/>
        </w:rPr>
        <w:t>利</w:t>
      </w:r>
      <w:r>
        <w:rPr>
          <w:rFonts w:ascii="Arial" w:hAnsi="Arial" w:cs="Arial"/>
          <w:b/>
          <w:szCs w:val="21"/>
        </w:rPr>
        <w:t>和义务</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1、乙方不得以任何理由向甲方工作人员行贿或馈赠礼金、有价证券、贵重礼品；</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2、乙方不得以任何名义为甲方工作人员报销应由甲方或个人支付的任何费用；</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3、乙方不得以任何理由安排甲方工作人员参加超标准宴请和娱乐活动；</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4、乙方不得为甲方工作人员购置通讯工具、交通工具和高档办公用品等；</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5、乙方及其工作人员不得索要或接受</w:t>
      </w:r>
      <w:r>
        <w:rPr>
          <w:rFonts w:hint="eastAsia" w:ascii="Arial" w:hAnsi="Arial" w:cs="Arial"/>
          <w:szCs w:val="21"/>
        </w:rPr>
        <w:t>处置单位</w:t>
      </w:r>
      <w:r>
        <w:rPr>
          <w:rFonts w:ascii="Arial" w:hAnsi="Arial" w:cs="Arial"/>
          <w:szCs w:val="21"/>
        </w:rPr>
        <w:t>与本项目相关单位的礼金、有价证券和贵重物品，不得在上述本项目相关单位报销任何应由乙方或个人支付的费用等；</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6、乙方及其工作人员必须严格按照国家</w:t>
      </w:r>
      <w:r>
        <w:rPr>
          <w:rFonts w:hint="eastAsia" w:ascii="Arial" w:hAnsi="Arial" w:cs="Arial"/>
          <w:szCs w:val="21"/>
        </w:rPr>
        <w:t>廉政</w:t>
      </w:r>
      <w:r>
        <w:rPr>
          <w:rFonts w:ascii="Arial" w:hAnsi="Arial" w:cs="Arial"/>
          <w:szCs w:val="21"/>
        </w:rPr>
        <w:t>管理相关规定办事，不得与</w:t>
      </w:r>
      <w:r>
        <w:rPr>
          <w:rFonts w:hint="eastAsia" w:ascii="Arial" w:hAnsi="Arial" w:cs="Arial"/>
          <w:szCs w:val="21"/>
        </w:rPr>
        <w:t>处置</w:t>
      </w:r>
      <w:r>
        <w:rPr>
          <w:rFonts w:ascii="Arial" w:hAnsi="Arial" w:cs="Arial"/>
          <w:szCs w:val="21"/>
        </w:rPr>
        <w:t>单位串通，损害甲方利益。</w:t>
      </w:r>
    </w:p>
    <w:p>
      <w:pPr>
        <w:tabs>
          <w:tab w:val="left" w:pos="0"/>
        </w:tabs>
        <w:adjustRightInd w:val="0"/>
        <w:snapToGrid w:val="0"/>
        <w:spacing w:line="440" w:lineRule="exact"/>
        <w:ind w:firstLine="422" w:firstLineChars="200"/>
        <w:rPr>
          <w:rFonts w:ascii="Arial" w:hAnsi="Arial" w:cs="Arial"/>
          <w:b/>
          <w:szCs w:val="21"/>
        </w:rPr>
      </w:pPr>
      <w:r>
        <w:rPr>
          <w:rFonts w:ascii="Arial" w:hAnsi="Arial" w:cs="Arial"/>
          <w:b/>
          <w:szCs w:val="21"/>
        </w:rPr>
        <w:t>四、违约责任</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1、甲方及其工作人员违反本</w:t>
      </w:r>
      <w:r>
        <w:rPr>
          <w:rFonts w:hint="eastAsia" w:ascii="Arial" w:hAnsi="Arial" w:cs="Arial"/>
          <w:szCs w:val="21"/>
        </w:rPr>
        <w:t>协议</w:t>
      </w:r>
      <w:r>
        <w:rPr>
          <w:rFonts w:ascii="Arial" w:hAnsi="Arial" w:cs="Arial"/>
          <w:szCs w:val="21"/>
        </w:rPr>
        <w:t>条款，按管理权限</w:t>
      </w:r>
      <w:r>
        <w:rPr>
          <w:rFonts w:hint="eastAsia" w:ascii="Arial" w:hAnsi="Arial" w:cs="Arial"/>
          <w:szCs w:val="21"/>
        </w:rPr>
        <w:t>，</w:t>
      </w:r>
      <w:r>
        <w:rPr>
          <w:rFonts w:ascii="Arial" w:hAnsi="Arial" w:cs="Arial"/>
          <w:szCs w:val="21"/>
        </w:rPr>
        <w:t>依据有关规定给与处理；涉嫌犯罪的，移交司法机关追究刑事责任；给乙方单位造成经济损失的，应予以赔偿；</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2、乙方及其工作人员违</w:t>
      </w:r>
      <w:r>
        <w:rPr>
          <w:rFonts w:hint="eastAsia" w:ascii="Arial" w:hAnsi="Arial" w:cs="Arial"/>
          <w:szCs w:val="21"/>
        </w:rPr>
        <w:t>反本协议条</w:t>
      </w:r>
      <w:r>
        <w:rPr>
          <w:rFonts w:ascii="Arial" w:hAnsi="Arial" w:cs="Arial"/>
          <w:szCs w:val="21"/>
        </w:rPr>
        <w:t>款，按管理权限</w:t>
      </w:r>
      <w:r>
        <w:rPr>
          <w:rFonts w:hint="eastAsia" w:ascii="Arial" w:hAnsi="Arial" w:cs="Arial"/>
          <w:szCs w:val="21"/>
        </w:rPr>
        <w:t>，</w:t>
      </w:r>
      <w:r>
        <w:rPr>
          <w:rFonts w:ascii="Arial" w:hAnsi="Arial" w:cs="Arial"/>
          <w:szCs w:val="21"/>
        </w:rPr>
        <w:t>依据有关规定给与处理；涉嫌犯罪的，移交司法机关追究刑事责任；给甲方单位造成经济损失的，应予以赔偿。情节严重的，甲方建议</w:t>
      </w:r>
      <w:r>
        <w:rPr>
          <w:rFonts w:hint="eastAsia" w:ascii="Arial" w:hAnsi="Arial" w:cs="Arial"/>
          <w:szCs w:val="21"/>
        </w:rPr>
        <w:t>环保</w:t>
      </w:r>
      <w:r>
        <w:rPr>
          <w:rFonts w:ascii="Arial" w:hAnsi="Arial" w:cs="Arial"/>
          <w:szCs w:val="21"/>
        </w:rPr>
        <w:t>主管部门给与乙方一至三年内不得进入其主管的</w:t>
      </w:r>
      <w:r>
        <w:rPr>
          <w:rFonts w:hint="eastAsia" w:ascii="Arial" w:hAnsi="Arial" w:cs="Arial"/>
          <w:szCs w:val="21"/>
        </w:rPr>
        <w:t>环保</w:t>
      </w:r>
      <w:r>
        <w:rPr>
          <w:rFonts w:ascii="Arial" w:hAnsi="Arial" w:cs="Arial"/>
          <w:szCs w:val="21"/>
        </w:rPr>
        <w:t>市场的处罚。</w:t>
      </w:r>
    </w:p>
    <w:p>
      <w:pPr>
        <w:tabs>
          <w:tab w:val="left" w:pos="0"/>
        </w:tabs>
        <w:adjustRightInd w:val="0"/>
        <w:snapToGrid w:val="0"/>
        <w:spacing w:line="440" w:lineRule="exact"/>
        <w:ind w:firstLine="420" w:firstLineChars="200"/>
        <w:rPr>
          <w:rFonts w:ascii="Arial" w:hAnsi="Arial" w:cs="Arial"/>
          <w:color w:val="000000"/>
          <w:szCs w:val="21"/>
        </w:rPr>
      </w:pPr>
      <w:r>
        <w:rPr>
          <w:rFonts w:ascii="Arial" w:hAnsi="Arial" w:cs="Arial"/>
          <w:color w:val="000000"/>
          <w:szCs w:val="21"/>
        </w:rPr>
        <w:t>五、 本</w:t>
      </w:r>
      <w:r>
        <w:rPr>
          <w:rFonts w:hint="eastAsia" w:ascii="Arial" w:hAnsi="Arial" w:cs="Arial"/>
          <w:color w:val="000000"/>
          <w:szCs w:val="21"/>
        </w:rPr>
        <w:t>协议</w:t>
      </w:r>
      <w:r>
        <w:rPr>
          <w:rFonts w:ascii="Arial" w:hAnsi="Arial" w:cs="Arial"/>
          <w:color w:val="000000"/>
          <w:szCs w:val="21"/>
        </w:rPr>
        <w:t>有效期为甲乙双方签署之日起至该</w:t>
      </w:r>
      <w:r>
        <w:rPr>
          <w:rFonts w:hint="eastAsia" w:ascii="Arial" w:hAnsi="Arial" w:cs="Arial"/>
          <w:color w:val="000000"/>
          <w:szCs w:val="21"/>
        </w:rPr>
        <w:t>项目完成为止</w:t>
      </w:r>
      <w:r>
        <w:rPr>
          <w:rFonts w:ascii="Arial" w:hAnsi="Arial" w:cs="Arial"/>
          <w:color w:val="000000"/>
          <w:szCs w:val="21"/>
        </w:rPr>
        <w:t>。</w:t>
      </w:r>
    </w:p>
    <w:p>
      <w:pPr>
        <w:adjustRightInd w:val="0"/>
        <w:snapToGrid w:val="0"/>
        <w:spacing w:line="440" w:lineRule="exact"/>
        <w:ind w:firstLine="420" w:firstLineChars="200"/>
        <w:rPr>
          <w:rFonts w:ascii="Arial" w:hAnsi="Arial" w:cs="Arial"/>
          <w:szCs w:val="21"/>
        </w:rPr>
      </w:pPr>
      <w:r>
        <w:rPr>
          <w:rFonts w:ascii="Arial" w:hAnsi="Arial" w:cs="Arial"/>
          <w:color w:val="000000"/>
          <w:szCs w:val="21"/>
        </w:rPr>
        <w:t>六、本</w:t>
      </w:r>
      <w:r>
        <w:rPr>
          <w:rFonts w:hint="eastAsia" w:ascii="Arial" w:hAnsi="Arial" w:cs="Arial"/>
          <w:color w:val="000000"/>
          <w:szCs w:val="21"/>
        </w:rPr>
        <w:t>协议</w:t>
      </w:r>
      <w:r>
        <w:rPr>
          <w:rFonts w:ascii="Arial" w:hAnsi="Arial" w:cs="Arial"/>
          <w:color w:val="000000"/>
          <w:szCs w:val="21"/>
        </w:rPr>
        <w:t>作</w:t>
      </w:r>
      <w:r>
        <w:rPr>
          <w:rFonts w:ascii="Arial" w:hAnsi="Arial" w:cs="Arial"/>
          <w:szCs w:val="21"/>
        </w:rPr>
        <w:t>为</w:t>
      </w:r>
      <w:r>
        <w:rPr>
          <w:rFonts w:ascii="Arial" w:hAnsi="Arial" w:cs="Arial"/>
          <w:bCs/>
          <w:szCs w:val="21"/>
          <w:u w:val="single"/>
        </w:rPr>
        <w:t>（项目名称）委托合同</w:t>
      </w:r>
      <w:r>
        <w:rPr>
          <w:rFonts w:ascii="Arial" w:hAnsi="Arial" w:cs="Arial"/>
          <w:szCs w:val="21"/>
        </w:rPr>
        <w:t>的附件，与合同书具有同等的法律效力，经</w:t>
      </w:r>
      <w:r>
        <w:rPr>
          <w:rFonts w:hint="eastAsia" w:ascii="Arial" w:hAnsi="Arial" w:cs="Arial"/>
          <w:color w:val="000000"/>
          <w:szCs w:val="21"/>
        </w:rPr>
        <w:t>协议</w:t>
      </w:r>
      <w:r>
        <w:rPr>
          <w:rFonts w:ascii="Arial" w:hAnsi="Arial" w:cs="Arial"/>
          <w:color w:val="000000"/>
          <w:szCs w:val="21"/>
        </w:rPr>
        <w:t>双</w:t>
      </w:r>
      <w:r>
        <w:rPr>
          <w:rFonts w:ascii="Arial" w:hAnsi="Arial" w:cs="Arial"/>
          <w:szCs w:val="21"/>
        </w:rPr>
        <w:t>方签署立即生效。</w:t>
      </w:r>
    </w:p>
    <w:p>
      <w:pPr>
        <w:tabs>
          <w:tab w:val="left" w:pos="0"/>
        </w:tabs>
        <w:adjustRightInd w:val="0"/>
        <w:snapToGrid w:val="0"/>
        <w:spacing w:line="440" w:lineRule="exact"/>
        <w:ind w:firstLine="420" w:firstLineChars="200"/>
        <w:rPr>
          <w:rFonts w:ascii="Arial" w:hAnsi="Arial" w:cs="Arial"/>
          <w:szCs w:val="21"/>
        </w:rPr>
      </w:pPr>
      <w:r>
        <w:rPr>
          <w:rFonts w:ascii="Arial" w:hAnsi="Arial" w:cs="Arial"/>
          <w:szCs w:val="21"/>
        </w:rPr>
        <w:t>七、本</w:t>
      </w:r>
      <w:r>
        <w:rPr>
          <w:rFonts w:hint="eastAsia" w:ascii="Arial" w:hAnsi="Arial" w:cs="Arial"/>
          <w:bCs/>
          <w:szCs w:val="21"/>
        </w:rPr>
        <w:t>协议</w:t>
      </w:r>
      <w:r>
        <w:rPr>
          <w:rFonts w:ascii="Arial" w:hAnsi="Arial" w:cs="Arial"/>
          <w:szCs w:val="21"/>
        </w:rPr>
        <w:t>甲方和乙方各持两份。</w:t>
      </w:r>
    </w:p>
    <w:p>
      <w:pPr>
        <w:tabs>
          <w:tab w:val="left" w:pos="0"/>
        </w:tabs>
        <w:adjustRightInd w:val="0"/>
        <w:snapToGrid w:val="0"/>
        <w:spacing w:line="440" w:lineRule="exact"/>
        <w:ind w:firstLine="420" w:firstLineChars="200"/>
        <w:rPr>
          <w:rFonts w:ascii="Arial" w:hAnsi="Arial" w:cs="Arial"/>
          <w:szCs w:val="21"/>
        </w:rPr>
      </w:pPr>
    </w:p>
    <w:p>
      <w:pPr>
        <w:tabs>
          <w:tab w:val="left" w:pos="0"/>
        </w:tabs>
        <w:adjustRightInd w:val="0"/>
        <w:snapToGrid w:val="0"/>
        <w:spacing w:line="440" w:lineRule="exact"/>
        <w:ind w:firstLine="420" w:firstLineChars="200"/>
        <w:rPr>
          <w:rFonts w:ascii="Arial" w:hAnsi="Arial" w:cs="Arial"/>
          <w:szCs w:val="21"/>
        </w:rPr>
      </w:pPr>
    </w:p>
    <w:p>
      <w:pPr>
        <w:adjustRightInd w:val="0"/>
        <w:snapToGrid w:val="0"/>
        <w:spacing w:line="440" w:lineRule="exact"/>
        <w:ind w:firstLine="420" w:firstLineChars="200"/>
        <w:jc w:val="left"/>
        <w:rPr>
          <w:rFonts w:ascii="Arial" w:hAnsi="Arial" w:cs="Arial"/>
          <w:bCs/>
          <w:szCs w:val="21"/>
        </w:rPr>
      </w:pPr>
      <w:r>
        <w:rPr>
          <w:rFonts w:ascii="Arial" w:hAnsi="Arial" w:cs="Arial"/>
          <w:bCs/>
          <w:szCs w:val="21"/>
        </w:rPr>
        <w:t>甲方（盖章）：                              乙方（盖章）：</w:t>
      </w:r>
    </w:p>
    <w:p>
      <w:pPr>
        <w:tabs>
          <w:tab w:val="right" w:pos="8352"/>
        </w:tabs>
        <w:adjustRightInd w:val="0"/>
        <w:snapToGrid w:val="0"/>
        <w:spacing w:line="440" w:lineRule="exact"/>
        <w:ind w:firstLine="420" w:firstLineChars="200"/>
        <w:jc w:val="left"/>
        <w:rPr>
          <w:rFonts w:hint="eastAsia" w:ascii="Arial" w:hAnsi="Arial" w:cs="Arial"/>
          <w:bCs/>
          <w:szCs w:val="21"/>
        </w:rPr>
      </w:pPr>
      <w:r>
        <w:rPr>
          <w:rFonts w:hint="eastAsia" w:ascii="宋体" w:hAnsi="宋体" w:cs="宋体"/>
          <w:color w:val="000000"/>
          <w:szCs w:val="21"/>
        </w:rPr>
        <w:t>法定代表人/授权代表（签字或盖章）</w:t>
      </w:r>
      <w:r>
        <w:rPr>
          <w:rFonts w:ascii="Arial" w:hAnsi="Arial" w:cs="Arial"/>
          <w:bCs/>
          <w:szCs w:val="21"/>
        </w:rPr>
        <w:t xml:space="preserve">：          </w:t>
      </w:r>
      <w:r>
        <w:rPr>
          <w:rFonts w:hint="eastAsia" w:ascii="宋体" w:hAnsi="宋体" w:cs="宋体"/>
          <w:color w:val="000000"/>
          <w:szCs w:val="21"/>
        </w:rPr>
        <w:t>法定代表人/授权代表（签字或盖章）</w:t>
      </w:r>
      <w:r>
        <w:rPr>
          <w:rFonts w:ascii="Arial" w:hAnsi="Arial" w:cs="Arial"/>
          <w:bCs/>
          <w:szCs w:val="21"/>
        </w:rPr>
        <w:t xml:space="preserve">           </w:t>
      </w:r>
    </w:p>
    <w:p>
      <w:pPr>
        <w:adjustRightInd w:val="0"/>
        <w:snapToGrid w:val="0"/>
        <w:spacing w:line="440" w:lineRule="exact"/>
        <w:ind w:firstLine="420" w:firstLineChars="200"/>
        <w:jc w:val="left"/>
        <w:rPr>
          <w:rFonts w:ascii="Arial" w:hAnsi="Arial" w:cs="Arial"/>
          <w:bCs/>
          <w:szCs w:val="21"/>
        </w:rPr>
      </w:pPr>
      <w:r>
        <w:rPr>
          <w:rFonts w:ascii="Arial" w:hAnsi="Arial" w:cs="Arial"/>
          <w:bCs/>
          <w:szCs w:val="21"/>
        </w:rPr>
        <w:t xml:space="preserve">联系人：                                    联系人： </w:t>
      </w:r>
    </w:p>
    <w:p>
      <w:pPr>
        <w:adjustRightInd w:val="0"/>
        <w:snapToGrid w:val="0"/>
        <w:spacing w:line="440" w:lineRule="exact"/>
        <w:ind w:firstLine="420" w:firstLineChars="200"/>
        <w:jc w:val="left"/>
        <w:rPr>
          <w:rFonts w:ascii="Arial" w:hAnsi="Arial" w:cs="Arial"/>
          <w:bCs/>
          <w:szCs w:val="21"/>
        </w:rPr>
      </w:pPr>
      <w:r>
        <w:rPr>
          <w:rFonts w:ascii="Arial" w:hAnsi="Arial" w:cs="Arial"/>
          <w:bCs/>
          <w:szCs w:val="21"/>
        </w:rPr>
        <w:t xml:space="preserve">地址：                                      地址： </w:t>
      </w:r>
    </w:p>
    <w:p>
      <w:pPr>
        <w:adjustRightInd w:val="0"/>
        <w:snapToGrid w:val="0"/>
        <w:spacing w:line="440" w:lineRule="exact"/>
        <w:ind w:firstLine="420" w:firstLineChars="200"/>
        <w:jc w:val="left"/>
        <w:rPr>
          <w:rFonts w:ascii="Arial" w:hAnsi="Arial" w:cs="Arial"/>
          <w:bCs/>
          <w:szCs w:val="21"/>
        </w:rPr>
      </w:pPr>
      <w:r>
        <w:rPr>
          <w:rFonts w:ascii="Arial" w:hAnsi="Arial" w:cs="Arial"/>
          <w:bCs/>
          <w:szCs w:val="21"/>
        </w:rPr>
        <w:t xml:space="preserve">电话：                                      电话： </w:t>
      </w:r>
    </w:p>
    <w:p>
      <w:pPr>
        <w:adjustRightInd w:val="0"/>
        <w:snapToGrid w:val="0"/>
        <w:spacing w:line="440" w:lineRule="exact"/>
        <w:ind w:firstLine="420" w:firstLineChars="200"/>
        <w:rPr>
          <w:rFonts w:cs="仿宋" w:asciiTheme="minorEastAsia" w:hAnsiTheme="minorEastAsia"/>
          <w:kern w:val="0"/>
          <w:sz w:val="24"/>
        </w:rPr>
        <w:sectPr>
          <w:pgSz w:w="11906" w:h="16838"/>
          <w:pgMar w:top="1247" w:right="1418" w:bottom="1247" w:left="1588" w:header="851" w:footer="992" w:gutter="0"/>
          <w:cols w:space="720" w:num="1"/>
          <w:docGrid w:type="lines" w:linePitch="312" w:charSpace="0"/>
        </w:sectPr>
      </w:pPr>
      <w:r>
        <w:rPr>
          <w:rFonts w:ascii="Arial" w:hAnsi="Arial" w:cs="Arial"/>
          <w:bCs/>
          <w:szCs w:val="21"/>
        </w:rPr>
        <w:t>日期：    年   月   日                      日期：     年    月   日</w:t>
      </w:r>
    </w:p>
    <w:p>
      <w:pPr>
        <w:snapToGrid w:val="0"/>
        <w:spacing w:line="460" w:lineRule="exact"/>
        <w:jc w:val="both"/>
        <w:rPr>
          <w:rFonts w:hint="eastAsia" w:cs="仿宋" w:asciiTheme="minorEastAsia" w:hAnsiTheme="minorEastAsia"/>
          <w:b/>
          <w:sz w:val="36"/>
          <w:szCs w:val="36"/>
        </w:rPr>
      </w:pPr>
    </w:p>
    <w:p>
      <w:pPr>
        <w:snapToGrid w:val="0"/>
        <w:spacing w:line="460" w:lineRule="exact"/>
        <w:jc w:val="both"/>
        <w:rPr>
          <w:rFonts w:hint="eastAsia" w:cs="仿宋" w:asciiTheme="minorEastAsia" w:hAnsiTheme="minorEastAsia"/>
          <w:b/>
          <w:sz w:val="36"/>
          <w:szCs w:val="36"/>
        </w:rPr>
      </w:pPr>
    </w:p>
    <w:p>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pPr>
        <w:pStyle w:val="5"/>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pPr>
        <w:adjustRightInd w:val="0"/>
        <w:snapToGrid w:val="0"/>
        <w:spacing w:line="460" w:lineRule="atLeast"/>
        <w:ind w:left="360" w:hanging="360" w:hangingChars="100"/>
        <w:rPr>
          <w:rFonts w:ascii="Times New Roman" w:hAnsi="Times New Roman" w:eastAsia="Cambria Math" w:cs="Times New Roman"/>
          <w:spacing w:val="20"/>
          <w:sz w:val="32"/>
          <w:szCs w:val="32"/>
        </w:rPr>
      </w:pPr>
    </w:p>
    <w:p>
      <w:pPr>
        <w:spacing w:line="360" w:lineRule="auto"/>
        <w:rPr>
          <w:rFonts w:ascii="Times New Roman" w:hAnsi="Times New Roman" w:eastAsia="Cambria Math" w:cs="Times New Roman"/>
          <w:sz w:val="96"/>
          <w:szCs w:val="22"/>
        </w:rPr>
      </w:pPr>
    </w:p>
    <w:p>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pPr>
        <w:spacing w:line="360" w:lineRule="auto"/>
        <w:jc w:val="center"/>
        <w:rPr>
          <w:rFonts w:ascii="宋体" w:hAnsi="宋体" w:eastAsia="宋体" w:cs="宋体"/>
          <w:sz w:val="44"/>
          <w:szCs w:val="44"/>
        </w:rPr>
      </w:pPr>
      <w:r>
        <w:rPr>
          <w:rFonts w:hint="eastAsia" w:ascii="宋体" w:hAnsi="宋体" w:eastAsia="宋体" w:cs="宋体"/>
          <w:sz w:val="44"/>
          <w:szCs w:val="44"/>
        </w:rPr>
        <w:t>开标时启封</w:t>
      </w:r>
    </w:p>
    <w:p>
      <w:pPr>
        <w:spacing w:line="360" w:lineRule="auto"/>
        <w:rPr>
          <w:rFonts w:ascii="宋体" w:hAnsi="宋体" w:eastAsia="宋体" w:cs="宋体"/>
          <w:sz w:val="44"/>
          <w:szCs w:val="44"/>
        </w:rPr>
      </w:pPr>
    </w:p>
    <w:p>
      <w:pPr>
        <w:spacing w:line="480" w:lineRule="auto"/>
        <w:ind w:firstLine="840" w:firstLineChars="300"/>
        <w:rPr>
          <w:rFonts w:hint="eastAsia" w:ascii="宋体" w:hAnsi="宋体" w:eastAsia="宋体" w:cs="宋体"/>
          <w:sz w:val="28"/>
          <w:szCs w:val="22"/>
          <w:u w:val="single"/>
          <w:lang w:eastAsia="zh-CN"/>
        </w:rPr>
      </w:pPr>
      <w:r>
        <w:rPr>
          <w:rFonts w:hint="eastAsia" w:ascii="宋体" w:hAnsi="宋体" w:eastAsia="宋体" w:cs="宋体"/>
          <w:sz w:val="28"/>
          <w:szCs w:val="22"/>
        </w:rPr>
        <w:t>采购项目名称：</w:t>
      </w:r>
      <w:r>
        <w:rPr>
          <w:rFonts w:hint="eastAsia" w:ascii="宋体" w:hAnsi="宋体" w:eastAsia="宋体" w:cs="宋体"/>
          <w:sz w:val="28"/>
          <w:szCs w:val="22"/>
          <w:u w:val="single"/>
          <w:lang w:eastAsia="zh-CN"/>
        </w:rPr>
        <w:t>2024年临江公司废油桶委外处置服务项目</w:t>
      </w:r>
    </w:p>
    <w:p>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 购 人：</w:t>
      </w:r>
      <w:r>
        <w:rPr>
          <w:rFonts w:hint="eastAsia" w:ascii="宋体" w:hAnsi="宋体" w:eastAsia="宋体" w:cs="宋体"/>
          <w:sz w:val="28"/>
          <w:szCs w:val="22"/>
          <w:u w:val="single"/>
        </w:rPr>
        <w:t>杭州临江环境能源有限公司</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目录</w:t>
      </w:r>
    </w:p>
    <w:p>
      <w:pPr>
        <w:spacing w:line="360" w:lineRule="auto"/>
        <w:jc w:val="center"/>
        <w:outlineLvl w:val="0"/>
        <w:rPr>
          <w:rFonts w:cs="仿宋" w:asciiTheme="minorEastAsia" w:hAnsiTheme="minorEastAsia"/>
          <w:b/>
          <w:kern w:val="0"/>
          <w:sz w:val="36"/>
          <w:szCs w:val="36"/>
        </w:rPr>
      </w:pPr>
    </w:p>
    <w:p>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pPr>
        <w:snapToGrid w:val="0"/>
        <w:spacing w:line="360" w:lineRule="auto"/>
        <w:rPr>
          <w:rFonts w:cs="仿宋" w:asciiTheme="minorEastAsia" w:hAnsiTheme="minorEastAsia"/>
          <w:sz w:val="24"/>
        </w:rPr>
      </w:pPr>
      <w:r>
        <w:rPr>
          <w:rFonts w:hint="eastAsia" w:cs="仿宋" w:asciiTheme="minorEastAsia" w:hAnsiTheme="minorEastAsia"/>
          <w:sz w:val="24"/>
        </w:rPr>
        <w:t>（3）本项目的特定要求（如果有）………………………………………（页码）</w:t>
      </w:r>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Pr>
        <w:pStyle w:val="13"/>
      </w:pPr>
    </w:p>
    <w:p/>
    <w:p>
      <w:pPr>
        <w:pStyle w:val="14"/>
        <w:rPr>
          <w:color w:val="auto"/>
        </w:rPr>
      </w:pPr>
    </w:p>
    <w:p/>
    <w:p>
      <w:pPr>
        <w:pStyle w:val="14"/>
      </w:pPr>
    </w:p>
    <w:p>
      <w:pPr>
        <w:pStyle w:val="7"/>
      </w:pPr>
    </w:p>
    <w:p/>
    <w:p>
      <w:pPr>
        <w:pStyle w:val="7"/>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2024年临江公司废油桶委外处置服务项目</w:t>
      </w:r>
      <w:r>
        <w:rPr>
          <w:rFonts w:hint="eastAsia" w:cs="仿宋" w:asciiTheme="minorEastAsia" w:hAnsiTheme="minorEastAsia"/>
          <w:sz w:val="24"/>
        </w:rPr>
        <w:t>【项目编号</w:t>
      </w:r>
      <w:r>
        <w:rPr>
          <w:rFonts w:hint="eastAsia" w:cs="仿宋" w:asciiTheme="minorEastAsia" w:hAnsiTheme="minorEastAsia"/>
          <w:sz w:val="24"/>
          <w:highlight w:val="none"/>
        </w:rPr>
        <w:t>：</w:t>
      </w:r>
      <w:r>
        <w:rPr>
          <w:rFonts w:hint="eastAsia" w:cs="仿宋" w:asciiTheme="minorEastAsia" w:hAnsiTheme="minorEastAsia"/>
          <w:sz w:val="24"/>
          <w:highlight w:val="none"/>
          <w:u w:val="single"/>
          <w:lang w:eastAsia="zh-CN"/>
        </w:rPr>
        <w:t>202402022</w:t>
      </w:r>
      <w:r>
        <w:rPr>
          <w:rFonts w:hint="eastAsia" w:cs="仿宋" w:asciiTheme="minorEastAsia" w:hAnsiTheme="minorEastAsia"/>
          <w:sz w:val="24"/>
        </w:rPr>
        <w:t>】采购活动，郑重承诺：</w:t>
      </w:r>
    </w:p>
    <w:p>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（二）未被信用中国（www.creditchina.gov.cn)、中国政府采购网（www.ccgp.gov.cn）列入失信被执行人、重大税收违法案件当事人名单、政府采购严重违法失信行为记录名单。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pPr>
        <w:snapToGrid w:val="0"/>
        <w:spacing w:line="360" w:lineRule="auto"/>
        <w:ind w:right="480"/>
        <w:jc w:val="center"/>
        <w:rPr>
          <w:rFonts w:cs="仿宋" w:asciiTheme="minorEastAsia" w:hAnsiTheme="minorEastAsia"/>
          <w:b/>
          <w:kern w:val="0"/>
          <w:sz w:val="32"/>
          <w:szCs w:val="32"/>
        </w:rPr>
      </w:pPr>
    </w:p>
    <w:p/>
    <w:p>
      <w:pPr>
        <w:pStyle w:val="7"/>
      </w:pPr>
    </w:p>
    <w:p>
      <w:pPr>
        <w:pStyle w:val="15"/>
      </w:pPr>
    </w:p>
    <w:p/>
    <w:p>
      <w:pPr>
        <w:pStyle w:val="7"/>
      </w:pPr>
    </w:p>
    <w:p>
      <w:pPr>
        <w:pStyle w:val="15"/>
      </w:pPr>
    </w:p>
    <w:p/>
    <w:p>
      <w:pPr>
        <w:pStyle w:val="7"/>
      </w:pPr>
    </w:p>
    <w:p>
      <w:pPr>
        <w:pStyle w:val="15"/>
      </w:pPr>
    </w:p>
    <w:p/>
    <w:p>
      <w:pPr>
        <w:pStyle w:val="12"/>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pPr>
        <w:pStyle w:val="7"/>
        <w:rPr>
          <w:lang w:val="en-US"/>
        </w:rPr>
      </w:pPr>
    </w:p>
    <w:p>
      <w:pPr>
        <w:spacing w:line="360" w:lineRule="auto"/>
        <w:ind w:firstLine="643" w:firstLineChars="200"/>
        <w:rPr>
          <w:rFonts w:cs="仿宋" w:asciiTheme="minorEastAsia" w:hAnsiTheme="minorEastAsia"/>
          <w:b/>
          <w:kern w:val="0"/>
          <w:sz w:val="32"/>
          <w:szCs w:val="32"/>
        </w:rPr>
      </w:pPr>
    </w:p>
    <w:p>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（根据采购公告本项目的特定要求提供相应的材料，如业绩证明材料、特殊行业许可证书等；未要求的，无需提供）</w:t>
      </w: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Pr>
        <w:pStyle w:val="7"/>
      </w:pPr>
    </w:p>
    <w:p>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pPr>
        <w:spacing w:line="360" w:lineRule="auto"/>
        <w:jc w:val="center"/>
        <w:outlineLvl w:val="0"/>
        <w:rPr>
          <w:rFonts w:cs="仿宋" w:asciiTheme="minorEastAsia" w:hAnsiTheme="minorEastAsia"/>
          <w:b/>
          <w:kern w:val="0"/>
          <w:sz w:val="24"/>
        </w:rPr>
      </w:pPr>
    </w:p>
    <w:p>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pPr>
        <w:snapToGrid w:val="0"/>
        <w:spacing w:line="360" w:lineRule="auto"/>
        <w:rPr>
          <w:rFonts w:cs="仿宋" w:asciiTheme="minorEastAsia" w:hAnsiTheme="minorEastAsia"/>
          <w:sz w:val="24"/>
        </w:rPr>
      </w:pPr>
      <w:r>
        <w:rPr>
          <w:rFonts w:hint="eastAsia" w:cs="仿宋" w:asciiTheme="minorEastAsia" w:hAnsiTheme="minorEastAsia"/>
          <w:sz w:val="24"/>
        </w:rPr>
        <w:t>（5）响应产品规格配置清单（若有）…………………………………………（页码）</w:t>
      </w:r>
    </w:p>
    <w:p>
      <w:pPr>
        <w:snapToGrid w:val="0"/>
        <w:spacing w:line="360" w:lineRule="auto"/>
        <w:rPr>
          <w:rFonts w:cs="仿宋" w:asciiTheme="minorEastAsia" w:hAnsiTheme="minorEastAsia"/>
          <w:sz w:val="24"/>
        </w:rPr>
      </w:pPr>
      <w:r>
        <w:rPr>
          <w:rFonts w:hint="eastAsia" w:cs="仿宋" w:asciiTheme="minorEastAsia" w:hAnsiTheme="minorEastAsia"/>
          <w:sz w:val="24"/>
        </w:rPr>
        <w:t>（6）商务技术偏离表……………………………………………………………（页码）</w:t>
      </w:r>
    </w:p>
    <w:p>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pPr>
        <w:snapToGrid w:val="0"/>
        <w:spacing w:line="360" w:lineRule="auto"/>
        <w:rPr>
          <w:rFonts w:cs="仿宋" w:asciiTheme="minorEastAsia" w:hAnsiTheme="minorEastAsia"/>
          <w:sz w:val="24"/>
        </w:rPr>
      </w:pPr>
      <w:r>
        <w:rPr>
          <w:rFonts w:hint="eastAsia" w:cs="仿宋" w:asciiTheme="minorEastAsia" w:hAnsiTheme="minorEastAsia"/>
          <w:sz w:val="24"/>
        </w:rPr>
        <w:t>（8）供应商股东信息及出资比例信息表………………………………………（页码）</w:t>
      </w:r>
    </w:p>
    <w:p>
      <w:pPr>
        <w:snapToGrid w:val="0"/>
        <w:spacing w:line="360" w:lineRule="auto"/>
        <w:rPr>
          <w:rFonts w:cs="仿宋" w:asciiTheme="minorEastAsia" w:hAnsiTheme="minorEastAsia"/>
          <w:sz w:val="24"/>
        </w:rPr>
      </w:pPr>
      <w:r>
        <w:rPr>
          <w:rFonts w:hint="eastAsia" w:cs="仿宋" w:asciiTheme="minorEastAsia" w:hAnsiTheme="minorEastAsia"/>
          <w:sz w:val="24"/>
        </w:rPr>
        <w:t>（9）供应商服务质量保证承诺函………………………………………………（页码）</w:t>
      </w: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
      <w:pPr>
        <w:pStyle w:val="7"/>
      </w:pPr>
    </w:p>
    <w:p>
      <w:pPr>
        <w:pStyle w:val="15"/>
      </w:pPr>
    </w:p>
    <w:p>
      <w:pPr>
        <w:pStyle w:val="15"/>
      </w:pPr>
    </w:p>
    <w:p>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hint="eastAsia" w:cs="仿宋" w:asciiTheme="minorEastAsia" w:hAnsiTheme="minorEastAsia"/>
          <w:sz w:val="24"/>
          <w:u w:val="single"/>
          <w:lang w:eastAsia="zh-CN"/>
        </w:rPr>
        <w:t>2024年临江公司废油桶委外处置服务项目</w:t>
      </w:r>
      <w:r>
        <w:rPr>
          <w:rFonts w:hint="eastAsia" w:cs="仿宋" w:asciiTheme="minorEastAsia" w:hAnsiTheme="minorEastAsia"/>
          <w:sz w:val="24"/>
        </w:rPr>
        <w:t>【项目编号：</w:t>
      </w:r>
      <w:r>
        <w:rPr>
          <w:rFonts w:hint="eastAsia" w:cs="仿宋" w:asciiTheme="minorEastAsia" w:hAnsiTheme="minorEastAsia"/>
          <w:sz w:val="24"/>
          <w:highlight w:val="none"/>
          <w:lang w:eastAsia="zh-CN"/>
        </w:rPr>
        <w:t>202402022</w:t>
      </w:r>
      <w:r>
        <w:rPr>
          <w:rFonts w:hint="eastAsia" w:cs="仿宋" w:asciiTheme="minorEastAsia" w:hAnsiTheme="minorEastAsia"/>
          <w:sz w:val="24"/>
          <w:highlight w:val="none"/>
        </w:rPr>
        <w:t>】</w:t>
      </w:r>
      <w:r>
        <w:rPr>
          <w:rFonts w:hint="eastAsia" w:cs="仿宋" w:asciiTheme="minorEastAsia" w:hAnsiTheme="minorEastAsia"/>
          <w:sz w:val="24"/>
        </w:rPr>
        <w:t>采购的有关活动，并对此项目进行响应。为此：</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pPr>
        <w:numPr>
          <w:ilvl w:val="0"/>
          <w:numId w:val="2"/>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ascii="宋体" w:hAnsi="宋体" w:cs="宋体"/>
          <w:sz w:val="24"/>
          <w:u w:val="single"/>
        </w:rPr>
        <w:t xml:space="preserve">              </w:t>
      </w:r>
      <w:r>
        <w:rPr>
          <w:rFonts w:hint="eastAsia" w:cs="仿宋" w:asciiTheme="minorEastAsia" w:hAnsiTheme="minorEastAsia"/>
          <w:sz w:val="24"/>
        </w:rPr>
        <w:t>。</w:t>
      </w:r>
    </w:p>
    <w:p>
      <w:pPr>
        <w:pStyle w:val="7"/>
      </w:pPr>
    </w:p>
    <w:p>
      <w:pPr>
        <w:pStyle w:val="15"/>
      </w:pPr>
    </w:p>
    <w:p>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pPr>
        <w:spacing w:line="360" w:lineRule="auto"/>
        <w:jc w:val="center"/>
        <w:rPr>
          <w:rFonts w:cs="仿宋" w:asciiTheme="minorEastAsia" w:hAnsiTheme="minorEastAsia"/>
          <w:sz w:val="24"/>
        </w:rPr>
        <w:sectPr>
          <w:pgSz w:w="11906" w:h="16838"/>
          <w:pgMar w:top="1276" w:right="1418" w:bottom="1247" w:left="1418" w:header="851" w:footer="992" w:gutter="0"/>
          <w:cols w:space="720" w:num="1"/>
          <w:titlePg/>
          <w:docGrid w:linePitch="312" w:charSpace="0"/>
        </w:sectPr>
      </w:pPr>
      <w:r>
        <w:rPr>
          <w:rFonts w:hint="eastAsia" w:cs="仿宋" w:asciiTheme="minorEastAsia" w:hAnsiTheme="minorEastAsia"/>
          <w:sz w:val="24"/>
        </w:rPr>
        <w:t xml:space="preserve">     日期：  年   月   日</w:t>
      </w:r>
    </w:p>
    <w:p>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pPr>
        <w:snapToGrid w:val="0"/>
        <w:spacing w:line="360" w:lineRule="auto"/>
        <w:rPr>
          <w:rFonts w:cs="仿宋" w:asciiTheme="minorEastAsia" w:hAnsiTheme="minorEastAsia"/>
          <w:kern w:val="0"/>
          <w:sz w:val="24"/>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kern w:val="0"/>
          <w:sz w:val="24"/>
          <w:u w:val="single"/>
        </w:rPr>
        <w:t xml:space="preserve">（采购项目名称、采购编号）   </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响应采购整个过程中的一切事项，</w:t>
      </w:r>
      <w:r>
        <w:rPr>
          <w:rFonts w:hint="eastAsia" w:cs="仿宋" w:asciiTheme="minorEastAsia" w:hAnsiTheme="minorEastAsia"/>
          <w:kern w:val="0"/>
          <w:sz w:val="24"/>
        </w:rPr>
        <w:t>其在报价过程中的一切活动本公司均予承认</w:t>
      </w:r>
      <w:r>
        <w:rPr>
          <w:rFonts w:hint="eastAsia" w:cs="仿宋" w:asciiTheme="minorEastAsia" w:hAnsiTheme="minorEastAsia"/>
          <w:kern w:val="0"/>
          <w:sz w:val="24"/>
          <w:lang w:val="zh-CN"/>
        </w:rPr>
        <w:t>，其法律后果由我方承担。</w:t>
      </w:r>
    </w:p>
    <w:p>
      <w:pPr>
        <w:snapToGrid w:val="0"/>
        <w:spacing w:line="360" w:lineRule="auto"/>
        <w:rPr>
          <w:rFonts w:cs="仿宋" w:asciiTheme="minorEastAsia" w:hAnsiTheme="minorEastAsia"/>
          <w:kern w:val="0"/>
          <w:sz w:val="24"/>
          <w:lang w:val="zh-CN"/>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pStyle w:val="7"/>
        <w:rPr>
          <w:rFonts w:cs="仿宋" w:asciiTheme="minorEastAsia" w:hAnsiTheme="minorEastAsia"/>
          <w:b/>
          <w:kern w:val="0"/>
          <w:sz w:val="32"/>
          <w:szCs w:val="32"/>
        </w:rPr>
      </w:pPr>
    </w:p>
    <w:p>
      <w:pPr>
        <w:pStyle w:val="15"/>
        <w:rPr>
          <w:rFonts w:cs="仿宋" w:asciiTheme="minorEastAsia" w:hAnsiTheme="minorEastAsia"/>
          <w:b/>
          <w:kern w:val="0"/>
          <w:sz w:val="32"/>
          <w:szCs w:val="32"/>
        </w:rPr>
      </w:pPr>
    </w:p>
    <w:p>
      <w:pPr>
        <w:rPr>
          <w:rFonts w:cs="仿宋" w:asciiTheme="minorEastAsia" w:hAnsiTheme="minorEastAsia"/>
          <w:b/>
          <w:kern w:val="0"/>
          <w:sz w:val="32"/>
          <w:szCs w:val="32"/>
          <w:lang w:val="zh-CN"/>
        </w:rPr>
      </w:pPr>
    </w:p>
    <w:p>
      <w:pPr>
        <w:pStyle w:val="7"/>
        <w:rPr>
          <w:rFonts w:cs="仿宋" w:asciiTheme="minorEastAsia" w:hAnsiTheme="minorEastAsia"/>
          <w:b/>
          <w:kern w:val="0"/>
          <w:sz w:val="32"/>
          <w:szCs w:val="32"/>
        </w:rPr>
      </w:pPr>
    </w:p>
    <w:p>
      <w:pPr>
        <w:pStyle w:val="15"/>
      </w:pPr>
    </w:p>
    <w:p/>
    <w:p>
      <w:pPr>
        <w:pStyle w:val="28"/>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8"/>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8"/>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jc w:val="center"/>
        <w:rPr>
          <w:rFonts w:cs="仿宋" w:asciiTheme="minorEastAsia" w:hAnsiTheme="minorEastAsia"/>
          <w:kern w:val="0"/>
          <w:sz w:val="24"/>
          <w:lang w:val="zh-CN"/>
        </w:rPr>
      </w:pPr>
    </w:p>
    <w:p>
      <w:pPr>
        <w:pStyle w:val="28"/>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2" w:hRule="atLeast"/>
          <w:jc w:val="center"/>
        </w:trPr>
        <w:tc>
          <w:tcPr>
            <w:tcW w:w="9207" w:type="dxa"/>
          </w:tcPr>
          <w:p>
            <w:pPr>
              <w:pStyle w:val="28"/>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8"/>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pPr>
        <w:spacing w:line="360" w:lineRule="auto"/>
        <w:jc w:val="center"/>
        <w:rPr>
          <w:rFonts w:cs="仿宋" w:asciiTheme="minorEastAsia" w:hAnsiTheme="minorEastAsia"/>
          <w:kern w:val="0"/>
          <w:sz w:val="24"/>
          <w:lang w:val="zh-CN"/>
        </w:rPr>
        <w:sectPr>
          <w:pgSz w:w="11906" w:h="16838"/>
          <w:pgMar w:top="1276" w:right="1418" w:bottom="1247" w:left="1418" w:header="851" w:footer="992" w:gutter="0"/>
          <w:cols w:space="720" w:num="1"/>
          <w:titlePg/>
          <w:docGrid w:linePitch="312" w:charSpace="0"/>
        </w:sectPr>
      </w:pPr>
      <w:r>
        <w:rPr>
          <w:rFonts w:hint="eastAsia" w:cs="仿宋" w:asciiTheme="minorEastAsia" w:hAnsiTheme="minorEastAsia"/>
          <w:kern w:val="0"/>
          <w:sz w:val="24"/>
          <w:lang w:val="zh-CN"/>
        </w:rPr>
        <w:t xml:space="preserve">                   日期：  年  月  日</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pPr>
        <w:jc w:val="center"/>
        <w:rPr>
          <w:rFonts w:cs="仿宋" w:asciiTheme="minorEastAsia" w:hAnsiTheme="minorEastAsia"/>
          <w:b/>
          <w:kern w:val="0"/>
          <w:sz w:val="32"/>
          <w:szCs w:val="32"/>
        </w:rPr>
      </w:pPr>
    </w:p>
    <w:tbl>
      <w:tblPr>
        <w:tblStyle w:val="16"/>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pPr>
              <w:jc w:val="center"/>
              <w:rPr>
                <w:rFonts w:cs="仿宋" w:asciiTheme="minorEastAsia" w:hAnsiTheme="minorEastAsia"/>
                <w:sz w:val="24"/>
              </w:rPr>
            </w:pPr>
          </w:p>
          <w:p>
            <w:pPr>
              <w:jc w:val="center"/>
              <w:rPr>
                <w:rFonts w:cs="仿宋" w:asciiTheme="minorEastAsia" w:hAnsiTheme="minorEastAsia"/>
                <w:sz w:val="24"/>
              </w:rPr>
            </w:pPr>
            <w:r>
              <w:rPr>
                <w:rFonts w:hint="eastAsia" w:cs="仿宋" w:asciiTheme="minorEastAsia" w:hAnsiTheme="minorEastAsia"/>
                <w:sz w:val="24"/>
              </w:rPr>
              <w:t>见响应文件</w:t>
            </w:r>
          </w:p>
          <w:p>
            <w:pPr>
              <w:jc w:val="center"/>
              <w:rPr>
                <w:rFonts w:cs="仿宋" w:asciiTheme="minorEastAsia" w:hAnsiTheme="minorEastAsia"/>
              </w:rPr>
            </w:pPr>
            <w:r>
              <w:rPr>
                <w:rFonts w:hint="eastAsia" w:cs="仿宋" w:asciiTheme="minorEastAsia" w:hAnsiTheme="minorEastAsia"/>
                <w:sz w:val="24"/>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响应文件满足询价采购文件的其它实质性要求。</w:t>
            </w:r>
          </w:p>
        </w:tc>
        <w:tc>
          <w:tcPr>
            <w:tcW w:w="3395" w:type="dxa"/>
            <w:vAlign w:val="center"/>
          </w:tcPr>
          <w:p>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bl>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rPr>
      </w:pPr>
      <w:r>
        <w:rPr>
          <w:rFonts w:hint="eastAsia" w:cs="仿宋" w:asciiTheme="minorEastAsia" w:hAnsiTheme="minorEastAsia"/>
          <w:b/>
          <w:kern w:val="0"/>
          <w:sz w:val="32"/>
          <w:szCs w:val="32"/>
        </w:rPr>
        <w:t>五、响应产品规格配置清单（若有）</w:t>
      </w:r>
    </w:p>
    <w:p>
      <w:pPr>
        <w:pStyle w:val="15"/>
        <w:rPr>
          <w:rFonts w:cs="仿宋" w:asciiTheme="minorEastAsia" w:hAnsiTheme="minorEastAsia"/>
          <w:lang w:val="en-US"/>
        </w:rPr>
      </w:pPr>
    </w:p>
    <w:tbl>
      <w:tblPr>
        <w:tblStyle w:val="16"/>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品牌（如果有）</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型号（如果有需填写完整）</w:t>
            </w: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bl>
    <w:p>
      <w:pPr>
        <w:pStyle w:val="7"/>
        <w:rPr>
          <w:lang w:val="en-US"/>
        </w:rPr>
        <w:sectPr>
          <w:pgSz w:w="11906" w:h="16838"/>
          <w:pgMar w:top="1276" w:right="1418" w:bottom="1247" w:left="1418" w:header="851" w:footer="992" w:gutter="0"/>
          <w:cols w:space="720" w:num="1"/>
          <w:titlePg/>
          <w:docGrid w:linePitch="312" w:charSpace="0"/>
        </w:sectPr>
      </w:pPr>
      <w:r>
        <w:rPr>
          <w:rFonts w:cs="仿宋_GB2312" w:asciiTheme="minorEastAsia" w:hAnsiTheme="minorEastAsia"/>
        </w:rPr>
        <w:t>注</w:t>
      </w:r>
      <w:r>
        <w:rPr>
          <w:rFonts w:cs="仿宋_GB2312" w:asciiTheme="minorEastAsia" w:hAnsiTheme="minorEastAsia"/>
          <w:lang w:val="en-US"/>
        </w:rPr>
        <w:t>：</w:t>
      </w:r>
      <w:r>
        <w:rPr>
          <w:rFonts w:hint="eastAsia" w:cs="仿宋_GB2312" w:asciiTheme="minorEastAsia" w:hAnsiTheme="minorEastAsia"/>
        </w:rPr>
        <w:t>按本格式和要求提供。</w:t>
      </w: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六、商务技术偏离表</w:t>
      </w:r>
    </w:p>
    <w:tbl>
      <w:tblPr>
        <w:tblStyle w:val="1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9" w:type="dxa"/>
          </w:tcPr>
          <w:p>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pPr>
              <w:jc w:val="center"/>
              <w:rPr>
                <w:rFonts w:cs="仿宋" w:asciiTheme="minorEastAsia" w:hAnsiTheme="minorEastAsia"/>
                <w:b/>
                <w:bCs/>
                <w:sz w:val="24"/>
              </w:rPr>
            </w:pPr>
            <w:r>
              <w:rPr>
                <w:rFonts w:hint="eastAsia" w:cs="仿宋" w:asciiTheme="minorEastAsia" w:hAnsiTheme="minorEastAsia"/>
                <w:b/>
                <w:bCs/>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bl>
    <w:p>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七、</w:t>
      </w:r>
      <w:r>
        <w:rPr>
          <w:rFonts w:hint="eastAsia" w:cs="仿宋" w:asciiTheme="minorEastAsia" w:hAnsiTheme="minorEastAsia"/>
          <w:b/>
          <w:kern w:val="0"/>
          <w:sz w:val="32"/>
          <w:szCs w:val="32"/>
          <w:lang w:val="zh-CN"/>
        </w:rPr>
        <w:t>供应商廉洁自律承诺书</w:t>
      </w:r>
    </w:p>
    <w:p>
      <w:pPr>
        <w:snapToGrid w:val="0"/>
        <w:spacing w:line="360" w:lineRule="auto"/>
        <w:rPr>
          <w:rFonts w:cs="仿宋" w:asciiTheme="minorEastAsia" w:hAnsiTheme="minorEastAsia"/>
          <w:sz w:val="24"/>
        </w:rPr>
      </w:pPr>
    </w:p>
    <w:p>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有权立即取消或者中止我单位响应、成交合同，有权拒绝我单位在一定时期内进入你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pPr>
        <w:pStyle w:val="7"/>
        <w:sectPr>
          <w:pgSz w:w="11906" w:h="16838"/>
          <w:pgMar w:top="1276" w:right="1418" w:bottom="1247" w:left="1418" w:header="851" w:footer="992" w:gutter="0"/>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八、供应商股东信息及出资比例信息表</w:t>
      </w:r>
    </w:p>
    <w:p>
      <w:pPr>
        <w:pStyle w:val="12"/>
        <w:rPr>
          <w:lang w:val="zh-CN"/>
        </w:rPr>
      </w:pPr>
    </w:p>
    <w:p>
      <w:pPr>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pPr>
              <w:spacing w:line="360" w:lineRule="auto"/>
              <w:jc w:val="center"/>
              <w:rPr>
                <w:rFonts w:ascii="宋体" w:hAnsi="宋体" w:eastAsia="宋体" w:cs="宋体"/>
                <w:sz w:val="24"/>
              </w:rPr>
            </w:pPr>
            <w:r>
              <w:rPr>
                <w:rFonts w:hint="eastAsia" w:ascii="宋体" w:hAnsi="宋体" w:eastAsia="宋体" w:cs="宋体"/>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bCs/>
          <w:sz w:val="24"/>
        </w:r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pPr>
        <w:pStyle w:val="12"/>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1" w:type="dxa"/>
            <w:vAlign w:val="center"/>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pPr>
              <w:spacing w:line="360" w:lineRule="auto"/>
              <w:jc w:val="center"/>
              <w:rPr>
                <w:rFonts w:ascii="宋体" w:hAnsi="宋体" w:eastAsia="宋体" w:cs="宋体"/>
                <w:sz w:val="24"/>
              </w:rPr>
            </w:pPr>
            <w:r>
              <w:rPr>
                <w:rFonts w:hint="eastAsia" w:ascii="宋体" w:hAnsi="宋体" w:eastAsia="宋体" w:cs="宋体"/>
                <w:sz w:val="24"/>
              </w:rPr>
              <w:t>存在管理系的单位全称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r>
        <w:rPr>
          <w:rFonts w:hint="eastAsia" w:ascii="宋体" w:hAnsi="宋体" w:eastAsia="宋体" w:cs="宋体"/>
          <w:b/>
          <w:kern w:val="0"/>
          <w:sz w:val="24"/>
        </w:rPr>
        <w:t>注：</w:t>
      </w:r>
    </w:p>
    <w:p>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rPr>
        <w:t>九、</w:t>
      </w:r>
      <w:r>
        <w:rPr>
          <w:rFonts w:hint="eastAsia" w:cs="仿宋" w:asciiTheme="minorEastAsia" w:hAnsiTheme="minorEastAsia"/>
          <w:b/>
          <w:kern w:val="0"/>
          <w:sz w:val="32"/>
          <w:szCs w:val="32"/>
          <w:lang w:val="zh-CN"/>
        </w:rPr>
        <w:t>供应商质量保证承诺函（</w:t>
      </w:r>
      <w:r>
        <w:rPr>
          <w:rFonts w:hint="eastAsia" w:cs="仿宋" w:asciiTheme="minorEastAsia" w:hAnsiTheme="minorEastAsia"/>
          <w:b/>
          <w:kern w:val="0"/>
          <w:sz w:val="32"/>
          <w:szCs w:val="32"/>
          <w:lang w:val="en-US" w:eastAsia="zh-CN"/>
        </w:rPr>
        <w:t>若有</w:t>
      </w:r>
      <w:r>
        <w:rPr>
          <w:rFonts w:hint="eastAsia" w:cs="仿宋" w:asciiTheme="minorEastAsia" w:hAnsiTheme="minorEastAsia"/>
          <w:b/>
          <w:kern w:val="0"/>
          <w:sz w:val="32"/>
          <w:szCs w:val="32"/>
          <w:lang w:val="zh-CN"/>
        </w:rPr>
        <w:t>）</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项目名称   </w:t>
      </w:r>
      <w:r>
        <w:rPr>
          <w:rFonts w:hint="eastAsia" w:ascii="宋体" w:hAnsi="宋体" w:eastAsia="宋体" w:cs="宋体"/>
          <w:sz w:val="24"/>
        </w:rPr>
        <w:t>采购活动，并作如下承诺：</w:t>
      </w:r>
    </w:p>
    <w:p>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1.我公司所供产品均为原厂生产或正规销售渠道进货。如采购人需要，可以提供原生产厂家到我公司的完整供应链销售凭证。</w:t>
      </w:r>
    </w:p>
    <w:p>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ind w:firstLine="3120" w:firstLineChars="1300"/>
        <w:rPr>
          <w:rFonts w:ascii="宋体" w:hAnsi="宋体" w:eastAsia="宋体" w:cs="宋体"/>
          <w:sz w:val="24"/>
        </w:rPr>
      </w:pPr>
      <w:r>
        <w:rPr>
          <w:rFonts w:hint="eastAsia" w:ascii="宋体" w:hAnsi="宋体" w:eastAsia="宋体" w:cs="宋体"/>
          <w:sz w:val="24"/>
        </w:rPr>
        <w:t>供应商名称（公章）：</w:t>
      </w:r>
    </w:p>
    <w:p>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2023年 月  日</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pPr>
        <w:pStyle w:val="5"/>
        <w:jc w:val="center"/>
        <w:rPr>
          <w:sz w:val="32"/>
          <w:szCs w:val="32"/>
        </w:rPr>
      </w:pPr>
      <w:r>
        <w:rPr>
          <w:rFonts w:hint="eastAsia"/>
          <w:sz w:val="32"/>
          <w:szCs w:val="32"/>
        </w:rPr>
        <w:t>一 、 报价函</w:t>
      </w:r>
    </w:p>
    <w:p>
      <w:pPr>
        <w:pStyle w:val="7"/>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pPr>
        <w:pStyle w:val="30"/>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ascii="宋体" w:hAnsi="宋体" w:eastAsia="宋体" w:cs="宋体"/>
          <w:sz w:val="24"/>
          <w:u w:val="single"/>
          <w:lang w:eastAsia="zh-CN"/>
        </w:rPr>
        <w:t>2024年临江公司废油桶委外处置服务项目</w:t>
      </w:r>
      <w:r>
        <w:rPr>
          <w:rFonts w:hint="eastAsia" w:ascii="宋体" w:hAnsi="宋体" w:eastAsia="宋体" w:cs="宋体"/>
          <w:sz w:val="24"/>
        </w:rPr>
        <w:t>项</w:t>
      </w:r>
      <w:r>
        <w:rPr>
          <w:rFonts w:hint="eastAsia" w:ascii="宋体" w:hAnsi="宋体" w:eastAsia="宋体" w:cs="宋体"/>
          <w:spacing w:val="-3"/>
          <w:sz w:val="24"/>
        </w:rPr>
        <w:t>目</w:t>
      </w:r>
      <w:r>
        <w:rPr>
          <w:rFonts w:hint="eastAsia" w:ascii="宋体" w:hAnsi="宋体" w:eastAsia="宋体" w:cs="宋体"/>
          <w:sz w:val="24"/>
        </w:rPr>
        <w:t>（项目编</w:t>
      </w:r>
      <w:r>
        <w:rPr>
          <w:rFonts w:hint="eastAsia" w:ascii="宋体" w:hAnsi="宋体" w:eastAsia="宋体" w:cs="宋体"/>
          <w:sz w:val="24"/>
          <w:highlight w:val="none"/>
        </w:rPr>
        <w:t>号：</w:t>
      </w:r>
      <w:r>
        <w:rPr>
          <w:rFonts w:hint="eastAsia" w:ascii="宋体" w:hAnsi="宋体" w:eastAsia="宋体" w:cs="宋体"/>
          <w:sz w:val="24"/>
          <w:highlight w:val="none"/>
          <w:u w:val="single"/>
          <w:lang w:eastAsia="zh-CN"/>
        </w:rPr>
        <w:t>202402022</w:t>
      </w:r>
      <w:r>
        <w:rPr>
          <w:rFonts w:hint="eastAsia" w:ascii="宋体" w:hAnsi="宋体" w:eastAsia="宋体" w:cs="宋体"/>
          <w:sz w:val="24"/>
          <w:highlight w:val="none"/>
        </w:rPr>
        <w:t>）</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pPr>
        <w:pStyle w:val="30"/>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pPr>
        <w:pStyle w:val="30"/>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pPr>
        <w:pStyle w:val="30"/>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4.如我方在响应过程中，发生询价文件规定的采购人可以没收询价保证金的情形的，我方同意采购人没收我方递交的全部询价保证金。</w:t>
      </w:r>
    </w:p>
    <w:p>
      <w:pPr>
        <w:pStyle w:val="30"/>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pPr>
        <w:pStyle w:val="7"/>
        <w:ind w:firstLine="480" w:firstLineChars="200"/>
        <w:jc w:val="left"/>
        <w:rPr>
          <w:rFonts w:hAnsi="宋体" w:cs="宋体"/>
        </w:rPr>
      </w:pPr>
    </w:p>
    <w:p>
      <w:pPr>
        <w:pStyle w:val="7"/>
        <w:ind w:firstLine="480" w:firstLineChars="200"/>
        <w:jc w:val="left"/>
        <w:rPr>
          <w:rFonts w:hAnsi="宋体" w:cs="宋体"/>
        </w:rPr>
      </w:pPr>
    </w:p>
    <w:p>
      <w:pPr>
        <w:pStyle w:val="7"/>
        <w:jc w:val="left"/>
        <w:rPr>
          <w:rFonts w:hAnsi="宋体" w:cs="宋体"/>
        </w:rPr>
      </w:pPr>
      <w:r>
        <w:rPr>
          <w:rFonts w:hint="eastAsia" w:hAnsi="宋体" w:cs="宋体"/>
        </w:rPr>
        <w:t>供应商名称：（盖单位公章）</w:t>
      </w:r>
    </w:p>
    <w:p>
      <w:pPr>
        <w:pStyle w:val="7"/>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pPr>
        <w:pStyle w:val="7"/>
        <w:tabs>
          <w:tab w:val="left" w:pos="4101"/>
        </w:tabs>
        <w:jc w:val="left"/>
        <w:rPr>
          <w:rFonts w:hAnsi="宋体" w:cs="宋体"/>
        </w:rPr>
      </w:pPr>
      <w:r>
        <w:rPr>
          <w:rFonts w:hint="eastAsia" w:hAnsi="宋体" w:cs="宋体"/>
        </w:rPr>
        <w:t>地址：</w:t>
      </w:r>
    </w:p>
    <w:p>
      <w:pPr>
        <w:pStyle w:val="7"/>
        <w:tabs>
          <w:tab w:val="left" w:pos="4101"/>
        </w:tabs>
        <w:jc w:val="left"/>
        <w:rPr>
          <w:rFonts w:hAnsi="宋体" w:cs="宋体"/>
        </w:rPr>
      </w:pPr>
      <w:r>
        <w:rPr>
          <w:rFonts w:hint="eastAsia" w:hAnsi="宋体" w:cs="宋体"/>
        </w:rPr>
        <w:t>电话</w:t>
      </w:r>
      <w:r>
        <w:rPr>
          <w:rFonts w:hint="eastAsia" w:hAnsi="宋体" w:cs="宋体"/>
          <w:spacing w:val="-17"/>
        </w:rPr>
        <w:t>：</w:t>
      </w:r>
    </w:p>
    <w:p>
      <w:pPr>
        <w:rPr>
          <w:rFonts w:hint="eastAsia" w:ascii="宋体" w:hAnsi="宋体" w:eastAsia="宋体" w:cs="宋体"/>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kern w:val="2"/>
          <w:sz w:val="24"/>
          <w:szCs w:val="24"/>
          <w:lang w:val="en-US" w:eastAsia="zh-CN" w:bidi="ar-SA"/>
        </w:rPr>
        <w:t>日 期 ： 年 月 日</w:t>
      </w:r>
    </w:p>
    <w:p>
      <w:pPr>
        <w:pStyle w:val="31"/>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2"/>
        <w:rPr>
          <w:rFonts w:cs="仿宋" w:asciiTheme="minorEastAsia" w:hAnsiTheme="minorEastAsia"/>
          <w:kern w:val="0"/>
          <w:sz w:val="24"/>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hint="eastAsia" w:cs="仿宋" w:asciiTheme="minorEastAsia" w:hAnsiTheme="minorEastAsia"/>
          <w:sz w:val="24"/>
          <w:u w:val="single"/>
          <w:lang w:eastAsia="zh-CN"/>
        </w:rPr>
        <w:t>2024年临江公司废油桶委外处置服务项目</w:t>
      </w:r>
      <w:r>
        <w:rPr>
          <w:rFonts w:hint="eastAsia" w:cs="仿宋" w:asciiTheme="minorEastAsia" w:hAnsiTheme="minorEastAsia"/>
          <w:sz w:val="24"/>
        </w:rPr>
        <w:t>【项目编号：</w:t>
      </w:r>
      <w:r>
        <w:rPr>
          <w:rFonts w:hint="eastAsia" w:cs="仿宋" w:asciiTheme="minorEastAsia" w:hAnsiTheme="minorEastAsia"/>
          <w:sz w:val="24"/>
          <w:highlight w:val="none"/>
          <w:u w:val="single"/>
          <w:lang w:eastAsia="zh-CN"/>
        </w:rPr>
        <w:t>202402022</w:t>
      </w:r>
      <w:r>
        <w:rPr>
          <w:rFonts w:hint="eastAsia" w:cs="仿宋" w:asciiTheme="minorEastAsia" w:hAnsiTheme="minorEastAsia"/>
          <w:sz w:val="24"/>
          <w:highlight w:val="none"/>
        </w:rPr>
        <w:t>】</w:t>
      </w:r>
      <w:r>
        <w:rPr>
          <w:rFonts w:hint="eastAsia" w:cs="仿宋" w:asciiTheme="minorEastAsia" w:hAnsiTheme="minorEastAsia"/>
          <w:sz w:val="24"/>
        </w:rPr>
        <w:t>的实施</w:t>
      </w:r>
      <w:r>
        <w:rPr>
          <w:rFonts w:hint="eastAsia" w:cs="仿宋" w:asciiTheme="minorEastAsia" w:hAnsiTheme="minorEastAsia"/>
          <w:kern w:val="0"/>
          <w:sz w:val="24"/>
          <w:lang w:val="zh-CN"/>
        </w:rPr>
        <w:t>。</w:t>
      </w:r>
    </w:p>
    <w:p>
      <w:pPr>
        <w:spacing w:line="360" w:lineRule="auto"/>
        <w:jc w:val="center"/>
        <w:rPr>
          <w:rFonts w:hint="eastAsia"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6"/>
        <w:tblW w:w="1385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07"/>
        <w:gridCol w:w="3651"/>
        <w:gridCol w:w="1034"/>
        <w:gridCol w:w="1666"/>
        <w:gridCol w:w="1666"/>
        <w:gridCol w:w="1666"/>
        <w:gridCol w:w="16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9" w:hRule="atLeast"/>
        </w:trPr>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内容</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总数</w:t>
            </w:r>
          </w:p>
        </w:tc>
        <w:tc>
          <w:tcPr>
            <w:tcW w:w="1666"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单价</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废油桶</w:t>
            </w:r>
          </w:p>
        </w:tc>
        <w:tc>
          <w:tcPr>
            <w:tcW w:w="3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废油桶（900-041-49）</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吨</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150</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5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仿宋" w:asciiTheme="minorEastAsia" w:hAnsiTheme="minorEastAsia"/>
                <w:b/>
                <w:sz w:val="24"/>
              </w:rPr>
              <w:t>响应报价合计（小写）</w:t>
            </w:r>
          </w:p>
        </w:tc>
        <w:tc>
          <w:tcPr>
            <w:tcW w:w="113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5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仿宋" w:asciiTheme="minorEastAsia" w:hAnsiTheme="minorEastAsia"/>
                <w:b/>
                <w:sz w:val="24"/>
              </w:rPr>
              <w:t>响应报价合计（</w:t>
            </w:r>
            <w:r>
              <w:rPr>
                <w:rFonts w:hint="eastAsia" w:cs="仿宋" w:asciiTheme="minorEastAsia" w:hAnsiTheme="minorEastAsia"/>
                <w:b/>
                <w:sz w:val="24"/>
                <w:lang w:val="en-US" w:eastAsia="zh-CN"/>
              </w:rPr>
              <w:t>大</w:t>
            </w:r>
            <w:r>
              <w:rPr>
                <w:rFonts w:hint="eastAsia" w:cs="仿宋" w:asciiTheme="minorEastAsia" w:hAnsiTheme="minorEastAsia"/>
                <w:b/>
                <w:sz w:val="24"/>
              </w:rPr>
              <w:t>写）</w:t>
            </w:r>
          </w:p>
        </w:tc>
        <w:tc>
          <w:tcPr>
            <w:tcW w:w="113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5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仿宋" w:asciiTheme="minorEastAsia" w:hAnsiTheme="minorEastAsia"/>
                <w:b/>
                <w:sz w:val="24"/>
              </w:rPr>
              <w:t>税率</w:t>
            </w:r>
          </w:p>
        </w:tc>
        <w:tc>
          <w:tcPr>
            <w:tcW w:w="113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snapToGrid w:val="0"/>
        <w:spacing w:line="360" w:lineRule="auto"/>
        <w:ind w:firstLine="482" w:firstLineChars="200"/>
        <w:rPr>
          <w:rFonts w:cs="仿宋" w:asciiTheme="minorEastAsia" w:hAnsiTheme="minorEastAsia"/>
          <w:b/>
          <w:kern w:val="0"/>
          <w:sz w:val="24"/>
          <w:lang w:val="zh-CN"/>
        </w:rPr>
      </w:pPr>
      <w:r>
        <w:rPr>
          <w:rFonts w:hint="eastAsia" w:cs="仿宋" w:asciiTheme="minorEastAsia" w:hAnsiTheme="minorEastAsia"/>
          <w:b/>
          <w:kern w:val="0"/>
          <w:sz w:val="24"/>
          <w:lang w:val="zh-CN"/>
        </w:rPr>
        <w:t>注：</w:t>
      </w:r>
    </w:p>
    <w:p>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3、特别提示：采购人将对项目名称和项目编号，成交供应商名称、成交标金额予以公示。</w:t>
      </w:r>
    </w:p>
    <w:p>
      <w:pPr>
        <w:pStyle w:val="7"/>
      </w:pPr>
    </w:p>
    <w:p>
      <w:pPr>
        <w:pStyle w:val="15"/>
      </w:pPr>
    </w:p>
    <w:p/>
    <w:p>
      <w:pPr>
        <w:pStyle w:val="7"/>
      </w:pPr>
    </w:p>
    <w:p>
      <w:pPr>
        <w:sectPr>
          <w:pgSz w:w="16838" w:h="11906" w:orient="landscape"/>
          <w:pgMar w:top="1803" w:right="1440" w:bottom="1803" w:left="1440" w:header="851" w:footer="992" w:gutter="0"/>
          <w:cols w:space="0" w:num="1"/>
          <w:docGrid w:type="lines" w:linePitch="319" w:charSpace="0"/>
        </w:sectPr>
      </w:pPr>
    </w:p>
    <w:p>
      <w:pPr>
        <w:spacing w:line="360" w:lineRule="auto"/>
        <w:jc w:val="center"/>
        <w:rPr>
          <w:rFonts w:cs="仿宋" w:asciiTheme="minorEastAsia" w:hAnsiTheme="minorEastAsia"/>
          <w:b/>
          <w:spacing w:val="6"/>
          <w:sz w:val="32"/>
          <w:szCs w:val="32"/>
        </w:rPr>
      </w:pPr>
      <w:bookmarkStart w:id="384" w:name="_Toc465665161"/>
      <w:r>
        <w:rPr>
          <w:rFonts w:hint="eastAsia" w:cs="宋体" w:asciiTheme="minorEastAsia" w:hAnsiTheme="minorEastAsia"/>
          <w:b/>
          <w:bCs/>
          <w:kern w:val="44"/>
          <w:sz w:val="44"/>
          <w:szCs w:val="44"/>
        </w:rPr>
        <w:t>附件</w:t>
      </w:r>
      <w:bookmarkEnd w:id="384"/>
    </w:p>
    <w:p>
      <w:pPr>
        <w:spacing w:line="360" w:lineRule="auto"/>
        <w:rPr>
          <w:rFonts w:ascii="宋体" w:hAnsi="宋体" w:cs="宋体"/>
          <w:b/>
          <w:spacing w:val="6"/>
          <w:sz w:val="32"/>
          <w:szCs w:val="32"/>
        </w:rPr>
      </w:pPr>
      <w:r>
        <w:rPr>
          <w:rFonts w:hint="eastAsia" w:cs="仿宋" w:asciiTheme="minorEastAsia" w:hAnsiTheme="minorEastAsia"/>
          <w:b/>
          <w:spacing w:val="6"/>
          <w:sz w:val="32"/>
          <w:szCs w:val="32"/>
        </w:rPr>
        <w:t>附件1</w:t>
      </w:r>
      <w:r>
        <w:rPr>
          <w:rFonts w:hint="eastAsia" w:ascii="宋体" w:hAnsi="宋体" w:cs="宋体"/>
          <w:b/>
          <w:spacing w:val="6"/>
          <w:sz w:val="32"/>
          <w:szCs w:val="32"/>
        </w:rPr>
        <w:t>：</w:t>
      </w:r>
    </w:p>
    <w:p>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二、质疑项目基本情况</w:t>
      </w:r>
    </w:p>
    <w:p>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三、质疑事项具体内容</w:t>
      </w:r>
    </w:p>
    <w:p>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质疑事项2</w:t>
      </w:r>
    </w:p>
    <w:p>
      <w:pPr>
        <w:snapToGrid w:val="0"/>
        <w:spacing w:line="360" w:lineRule="auto"/>
        <w:rPr>
          <w:rFonts w:ascii="宋体" w:hAnsi="宋体" w:cs="宋体"/>
          <w:sz w:val="24"/>
        </w:rPr>
      </w:pPr>
      <w:r>
        <w:rPr>
          <w:rFonts w:hint="eastAsia" w:ascii="宋体" w:hAnsi="宋体" w:cs="宋体"/>
          <w:sz w:val="24"/>
        </w:rPr>
        <w:t>……</w:t>
      </w:r>
    </w:p>
    <w:p>
      <w:pPr>
        <w:snapToGrid w:val="0"/>
        <w:spacing w:line="360" w:lineRule="auto"/>
        <w:rPr>
          <w:rFonts w:ascii="宋体" w:hAnsi="宋体" w:cs="宋体"/>
          <w:bCs/>
          <w:sz w:val="24"/>
        </w:rPr>
      </w:pPr>
      <w:r>
        <w:rPr>
          <w:rFonts w:hint="eastAsia" w:ascii="宋体" w:hAnsi="宋体" w:cs="宋体"/>
          <w:bCs/>
          <w:sz w:val="24"/>
        </w:rPr>
        <w:t>四、与质疑事项相关的质疑请求</w:t>
      </w:r>
    </w:p>
    <w:p>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 xml:space="preserve">签字(签章)：                   公章：                      </w:t>
      </w:r>
    </w:p>
    <w:p>
      <w:pPr>
        <w:spacing w:line="360" w:lineRule="auto"/>
        <w:rPr>
          <w:rFonts w:ascii="宋体" w:hAnsi="宋体" w:cs="宋体"/>
          <w:sz w:val="24"/>
        </w:rPr>
      </w:pPr>
      <w:r>
        <w:rPr>
          <w:rFonts w:hint="eastAsia" w:ascii="宋体" w:hAnsi="宋体" w:cs="宋体"/>
          <w:sz w:val="24"/>
        </w:rPr>
        <w:t xml:space="preserve">日期：    </w:t>
      </w:r>
    </w:p>
    <w:p>
      <w:pPr>
        <w:spacing w:line="360" w:lineRule="auto"/>
        <w:jc w:val="center"/>
        <w:rPr>
          <w:rFonts w:ascii="宋体" w:hAnsi="宋体" w:cs="宋体"/>
          <w:b/>
          <w:bCs/>
          <w:sz w:val="24"/>
        </w:rPr>
      </w:pPr>
    </w:p>
    <w:p>
      <w:pPr>
        <w:spacing w:line="360" w:lineRule="auto"/>
        <w:rPr>
          <w:rFonts w:ascii="宋体" w:hAnsi="宋体" w:cs="宋体"/>
          <w:b/>
          <w:sz w:val="24"/>
        </w:rPr>
        <w:sectPr>
          <w:footerReference r:id="rId18" w:type="default"/>
          <w:pgSz w:w="11906" w:h="16838"/>
          <w:pgMar w:top="1440" w:right="1800" w:bottom="1440" w:left="1800" w:header="930" w:footer="992" w:gutter="0"/>
          <w:cols w:space="425" w:num="1"/>
          <w:docGrid w:type="lines" w:linePitch="312" w:charSpace="0"/>
        </w:sectPr>
      </w:pPr>
    </w:p>
    <w:p>
      <w:pPr>
        <w:pStyle w:val="12"/>
      </w:pPr>
    </w:p>
    <w:p>
      <w:pPr>
        <w:spacing w:line="360" w:lineRule="auto"/>
        <w:rPr>
          <w:rFonts w:ascii="宋体" w:hAnsi="宋体" w:cs="宋体"/>
          <w:b/>
          <w:sz w:val="24"/>
        </w:rPr>
      </w:pPr>
      <w:r>
        <w:rPr>
          <w:rFonts w:hint="eastAsia" w:ascii="宋体" w:hAnsi="宋体" w:cs="宋体"/>
          <w:b/>
          <w:sz w:val="24"/>
        </w:rPr>
        <w:t>质疑函制作说明：</w:t>
      </w:r>
    </w:p>
    <w:p>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sz w:val="30"/>
          <w:szCs w:val="30"/>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附件2：</w:t>
      </w:r>
    </w:p>
    <w:p>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(供应商全称)是中华人民共和国依法登记注册的合法企业，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你方组织的</w:t>
      </w:r>
      <w:r>
        <w:rPr>
          <w:rFonts w:cs="仿宋" w:asciiTheme="minorEastAsia" w:hAnsiTheme="minorEastAsia"/>
          <w:sz w:val="24"/>
        </w:rPr>
        <w:t xml:space="preserve"> </w:t>
      </w:r>
      <w:r>
        <w:rPr>
          <w:rFonts w:hint="eastAsia" w:cs="仿宋" w:asciiTheme="minorEastAsia" w:hAnsiTheme="minorEastAsia"/>
          <w:sz w:val="24"/>
          <w:u w:val="single"/>
          <w:lang w:eastAsia="zh-CN"/>
        </w:rPr>
        <w:t>2024年临江公司废油桶委外处置服务项目</w:t>
      </w:r>
      <w:r>
        <w:rPr>
          <w:rFonts w:hint="eastAsia" w:cs="仿宋" w:asciiTheme="minorEastAsia" w:hAnsiTheme="minorEastAsia"/>
          <w:sz w:val="24"/>
          <w:u w:val="single"/>
        </w:rPr>
        <w:t>项目</w:t>
      </w:r>
      <w:r>
        <w:rPr>
          <w:rFonts w:hint="eastAsia" w:cs="仿宋" w:asciiTheme="minorEastAsia" w:hAnsiTheme="minorEastAsia"/>
          <w:sz w:val="24"/>
        </w:rPr>
        <w:t>【项目编号：</w:t>
      </w:r>
      <w:r>
        <w:rPr>
          <w:rFonts w:hint="eastAsia" w:cs="仿宋" w:asciiTheme="minorEastAsia" w:hAnsiTheme="minorEastAsia"/>
          <w:sz w:val="24"/>
          <w:highlight w:val="none"/>
          <w:u w:val="single"/>
        </w:rPr>
        <w:t xml:space="preserve"> </w:t>
      </w:r>
      <w:bookmarkStart w:id="385" w:name="_GoBack"/>
      <w:r>
        <w:rPr>
          <w:rFonts w:hint="eastAsia" w:cs="仿宋" w:asciiTheme="minorEastAsia" w:hAnsiTheme="minorEastAsia"/>
          <w:sz w:val="24"/>
          <w:highlight w:val="none"/>
          <w:u w:val="single"/>
          <w:lang w:eastAsia="zh-CN"/>
        </w:rPr>
        <w:t>202402022</w:t>
      </w:r>
      <w:bookmarkEnd w:id="385"/>
      <w:r>
        <w:rPr>
          <w:rFonts w:hint="eastAsia" w:cs="仿宋" w:asciiTheme="minorEastAsia" w:hAnsiTheme="minorEastAsia"/>
          <w:sz w:val="24"/>
          <w:highlight w:val="none"/>
        </w:rPr>
        <w:t>】</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pPr>
        <w:rPr>
          <w:rFonts w:cs="仿宋" w:asciiTheme="minorEastAsia" w:hAnsiTheme="minorEastAsia"/>
          <w:sz w:val="24"/>
        </w:rPr>
      </w:pPr>
      <w:r>
        <w:rPr>
          <w:rFonts w:hint="eastAsia" w:cs="仿宋" w:asciiTheme="minorEastAsia" w:hAnsiTheme="minorEastAsia"/>
          <w:b/>
          <w:bCs/>
          <w:sz w:val="24"/>
        </w:rPr>
        <w:t>附：</w:t>
      </w:r>
    </w:p>
    <w:p>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sectPr>
          <w:footerReference r:id="rId20" w:type="default"/>
          <w:pgSz w:w="11906" w:h="16838"/>
          <w:pgMar w:top="1440" w:right="1800" w:bottom="1440" w:left="1800" w:header="930" w:footer="992" w:gutter="0"/>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附件3：</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w:t>
      </w:r>
      <w:r>
        <w:rPr>
          <w:rFonts w:hint="eastAsia" w:cs="仿宋" w:asciiTheme="minorEastAsia" w:hAnsiTheme="minorEastAsia"/>
          <w:kern w:val="0"/>
          <w:sz w:val="24"/>
          <w:lang w:val="zh-CN"/>
        </w:rPr>
        <w:t>应商名称）若成为</w:t>
      </w:r>
      <w:r>
        <w:rPr>
          <w:rFonts w:hint="eastAsia" w:cs="仿宋" w:asciiTheme="minorEastAsia" w:hAnsiTheme="minorEastAsia"/>
          <w:kern w:val="0"/>
          <w:sz w:val="24"/>
          <w:lang w:val="en-US" w:eastAsia="zh-CN"/>
        </w:rPr>
        <w:t>2024年临江公司废油桶委外处置服务项目</w:t>
      </w:r>
      <w:r>
        <w:rPr>
          <w:rFonts w:hint="eastAsia" w:cs="仿宋" w:asciiTheme="minorEastAsia" w:hAnsiTheme="minorEastAsia"/>
          <w:kern w:val="0"/>
          <w:sz w:val="24"/>
          <w:lang w:val="zh-CN"/>
        </w:rPr>
        <w:t>【</w:t>
      </w:r>
      <w:r>
        <w:rPr>
          <w:rFonts w:hint="eastAsia" w:cs="仿宋" w:asciiTheme="minorEastAsia" w:hAnsiTheme="minorEastAsia"/>
          <w:sz w:val="24"/>
        </w:rPr>
        <w:t>项目编号</w:t>
      </w: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202402022</w:t>
      </w:r>
      <w:r>
        <w:rPr>
          <w:rFonts w:hint="eastAsia" w:cs="仿宋" w:asciiTheme="minorEastAsia" w:hAnsiTheme="minorEastAsia"/>
          <w:sz w:val="24"/>
        </w:rPr>
        <w:t>】</w:t>
      </w:r>
      <w:r>
        <w:rPr>
          <w:rFonts w:hint="eastAsia" w:cs="仿宋" w:asciiTheme="minorEastAsia" w:hAnsiTheme="minorEastAsia"/>
          <w:kern w:val="0"/>
          <w:sz w:val="24"/>
          <w:lang w:val="zh-CN"/>
        </w:rPr>
        <w:t>的成交供应商，将依法采取分包方式履行合同。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pPr>
        <w:pStyle w:val="4"/>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pPr>
        <w:pStyle w:val="7"/>
      </w:pPr>
    </w:p>
    <w:p>
      <w:pPr>
        <w:pStyle w:val="15"/>
      </w:pPr>
    </w:p>
    <w:p/>
    <w:p>
      <w:pPr>
        <w:pStyle w:val="7"/>
      </w:pPr>
    </w:p>
    <w:p>
      <w:pPr>
        <w:pStyle w:val="9"/>
        <w:spacing w:before="100" w:beforeAutospacing="1" w:after="100" w:afterAutospacing="1" w:line="360" w:lineRule="auto"/>
        <w:jc w:val="both"/>
        <w:rPr>
          <w:rFonts w:hint="eastAsia" w:hAnsi="宋体" w:cs="宋体" w:eastAsiaTheme="minorEastAsia"/>
          <w:b/>
          <w:sz w:val="32"/>
          <w:szCs w:val="32"/>
          <w:lang w:eastAsia="zh-CN"/>
        </w:rPr>
      </w:pPr>
      <w:r>
        <w:rPr>
          <w:rFonts w:hint="eastAsia" w:hAnsi="宋体" w:cs="宋体"/>
          <w:b/>
          <w:sz w:val="32"/>
          <w:szCs w:val="32"/>
          <w:lang w:val="en-US" w:eastAsia="zh-CN"/>
        </w:rPr>
        <w:t xml:space="preserve">附件4           </w:t>
      </w:r>
      <w:r>
        <w:rPr>
          <w:rFonts w:hint="eastAsia" w:hAnsi="宋体" w:cs="宋体"/>
          <w:b/>
          <w:sz w:val="32"/>
          <w:szCs w:val="32"/>
        </w:rPr>
        <w:t>退还响应保证金申请书</w:t>
      </w:r>
      <w:r>
        <w:rPr>
          <w:rFonts w:hint="eastAsia" w:hAnsi="宋体" w:cs="宋体"/>
          <w:b/>
          <w:sz w:val="32"/>
          <w:szCs w:val="32"/>
          <w:lang w:eastAsia="zh-CN"/>
        </w:rPr>
        <w:t>（</w:t>
      </w:r>
      <w:r>
        <w:rPr>
          <w:rFonts w:hint="eastAsia" w:hAnsi="宋体" w:cs="宋体"/>
          <w:b/>
          <w:sz w:val="32"/>
          <w:szCs w:val="32"/>
          <w:lang w:val="en-US" w:eastAsia="zh-CN"/>
        </w:rPr>
        <w:t>若有</w:t>
      </w:r>
      <w:r>
        <w:rPr>
          <w:rFonts w:hint="eastAsia" w:hAnsi="宋体" w:cs="宋体"/>
          <w:b/>
          <w:sz w:val="32"/>
          <w:szCs w:val="32"/>
          <w:lang w:eastAsia="zh-CN"/>
        </w:rPr>
        <w:t>）</w:t>
      </w:r>
    </w:p>
    <w:p>
      <w:pPr>
        <w:spacing w:line="360" w:lineRule="auto"/>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p>
    <w:p>
      <w:pPr>
        <w:spacing w:line="360" w:lineRule="auto"/>
        <w:ind w:firstLine="480"/>
        <w:rPr>
          <w:rFonts w:ascii="宋体" w:hAnsi="宋体" w:cs="宋体"/>
          <w:sz w:val="24"/>
        </w:rPr>
      </w:pPr>
      <w:r>
        <w:rPr>
          <w:rFonts w:hint="eastAsia" w:ascii="宋体" w:hAnsi="宋体" w:cs="宋体"/>
          <w:sz w:val="24"/>
        </w:rPr>
        <w:t>我公司参加了贵司的</w:t>
      </w:r>
      <w:r>
        <w:rPr>
          <w:rFonts w:hint="eastAsia" w:ascii="宋体" w:hAnsi="宋体" w:cs="宋体"/>
          <w:sz w:val="24"/>
          <w:u w:val="single"/>
        </w:rPr>
        <w:t xml:space="preserve">    （采购项目名称）    </w:t>
      </w:r>
      <w:r>
        <w:rPr>
          <w:rFonts w:hint="eastAsia" w:ascii="宋体" w:hAnsi="宋体" w:cs="宋体"/>
          <w:sz w:val="24"/>
        </w:rPr>
        <w:t>项目（项目编号：</w:t>
      </w:r>
      <w:r>
        <w:rPr>
          <w:rFonts w:hint="eastAsia" w:ascii="宋体" w:hAnsi="宋体" w:cs="宋体"/>
          <w:sz w:val="24"/>
          <w:u w:val="single"/>
        </w:rPr>
        <w:t xml:space="preserve">           </w:t>
      </w:r>
      <w:r>
        <w:rPr>
          <w:rFonts w:hint="eastAsia" w:ascii="宋体" w:hAnsi="宋体" w:cs="宋体"/>
          <w:sz w:val="24"/>
        </w:rPr>
        <w:t>）的投标，现申请退还该笔响应保证金，本申请书也作为收款凭证。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4084"/>
        <w:gridCol w:w="1607"/>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sz w:val="24"/>
              </w:rPr>
            </w:pPr>
            <w:r>
              <w:rPr>
                <w:rFonts w:hint="eastAsia" w:ascii="宋体" w:hAnsi="宋体" w:cs="宋体"/>
                <w:sz w:val="24"/>
              </w:rPr>
              <w:t>申请人信息</w:t>
            </w:r>
          </w:p>
        </w:tc>
        <w:tc>
          <w:tcPr>
            <w:tcW w:w="6717" w:type="dxa"/>
            <w:gridSpan w:val="3"/>
            <w:vAlign w:val="center"/>
          </w:tcPr>
          <w:p>
            <w:pPr>
              <w:spacing w:line="360" w:lineRule="auto"/>
              <w:rPr>
                <w:rFonts w:ascii="宋体" w:hAnsi="宋体" w:cs="宋体"/>
                <w:sz w:val="24"/>
              </w:rPr>
            </w:pPr>
            <w:r>
              <w:rPr>
                <w:rFonts w:hint="eastAsia" w:ascii="宋体" w:hAnsi="宋体" w:cs="宋体"/>
                <w:sz w:val="24"/>
              </w:rPr>
              <w:t xml:space="preserve">供应商（加盖公章或财务专用章）：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4084" w:type="dxa"/>
            <w:vAlign w:val="center"/>
          </w:tcPr>
          <w:p>
            <w:pPr>
              <w:spacing w:line="360" w:lineRule="auto"/>
              <w:rPr>
                <w:rFonts w:ascii="宋体" w:hAnsi="宋体" w:cs="宋体"/>
                <w:sz w:val="24"/>
              </w:rPr>
            </w:pPr>
            <w:r>
              <w:rPr>
                <w:rFonts w:hint="eastAsia" w:ascii="宋体" w:hAnsi="宋体" w:cs="宋体"/>
                <w:sz w:val="24"/>
              </w:rPr>
              <w:t>财务联系人：</w:t>
            </w:r>
          </w:p>
        </w:tc>
        <w:tc>
          <w:tcPr>
            <w:tcW w:w="1607" w:type="dxa"/>
            <w:vAlign w:val="center"/>
          </w:tcPr>
          <w:p>
            <w:pPr>
              <w:spacing w:line="360" w:lineRule="auto"/>
              <w:rPr>
                <w:rFonts w:ascii="宋体" w:hAnsi="宋体" w:cs="宋体"/>
                <w:sz w:val="24"/>
              </w:rPr>
            </w:pPr>
            <w:r>
              <w:rPr>
                <w:rFonts w:hint="eastAsia" w:ascii="宋体" w:hAnsi="宋体" w:cs="宋体"/>
                <w:sz w:val="24"/>
              </w:rPr>
              <w:t>联系方式</w:t>
            </w:r>
          </w:p>
        </w:tc>
        <w:tc>
          <w:tcPr>
            <w:tcW w:w="1026" w:type="dxa"/>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4084" w:type="dxa"/>
            <w:vAlign w:val="center"/>
          </w:tcPr>
          <w:p>
            <w:pPr>
              <w:spacing w:line="360" w:lineRule="auto"/>
              <w:rPr>
                <w:rFonts w:ascii="宋体" w:hAnsi="宋体" w:cs="宋体"/>
                <w:sz w:val="24"/>
              </w:rPr>
            </w:pPr>
            <w:r>
              <w:rPr>
                <w:rFonts w:hint="eastAsia" w:ascii="宋体" w:hAnsi="宋体" w:cs="宋体"/>
                <w:sz w:val="24"/>
              </w:rPr>
              <w:t>项目负责人：</w:t>
            </w:r>
          </w:p>
        </w:tc>
        <w:tc>
          <w:tcPr>
            <w:tcW w:w="1607" w:type="dxa"/>
            <w:vAlign w:val="center"/>
          </w:tcPr>
          <w:p>
            <w:pPr>
              <w:spacing w:line="360" w:lineRule="auto"/>
              <w:rPr>
                <w:rFonts w:ascii="宋体" w:hAnsi="宋体" w:cs="宋体"/>
                <w:sz w:val="24"/>
              </w:rPr>
            </w:pPr>
            <w:r>
              <w:rPr>
                <w:rFonts w:hint="eastAsia" w:ascii="宋体" w:hAnsi="宋体" w:cs="宋体"/>
                <w:sz w:val="24"/>
              </w:rPr>
              <w:t>联系方式</w:t>
            </w:r>
          </w:p>
        </w:tc>
        <w:tc>
          <w:tcPr>
            <w:tcW w:w="1026" w:type="dxa"/>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投标保证金金额（大写）：人民币</w:t>
            </w:r>
          </w:p>
          <w:p>
            <w:pPr>
              <w:spacing w:line="360" w:lineRule="auto"/>
              <w:rPr>
                <w:rFonts w:ascii="宋体" w:hAnsi="宋体" w:cs="宋体"/>
                <w:sz w:val="24"/>
              </w:rPr>
            </w:pPr>
            <w:r>
              <w:rPr>
                <w:rFonts w:hint="eastAsia" w:ascii="宋体" w:hAnsi="宋体" w:cs="宋体"/>
                <w:sz w:val="24"/>
              </w:rPr>
              <w:t xml:space="preserve">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投标保证金提交形式： □转账支票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sz w:val="24"/>
              </w:rPr>
            </w:pPr>
            <w:r>
              <w:rPr>
                <w:rFonts w:hint="eastAsia" w:ascii="宋体" w:hAnsi="宋体" w:cs="宋体"/>
                <w:sz w:val="24"/>
              </w:rPr>
              <w:t>退还账户信息</w:t>
            </w:r>
          </w:p>
        </w:tc>
        <w:tc>
          <w:tcPr>
            <w:tcW w:w="6717" w:type="dxa"/>
            <w:gridSpan w:val="3"/>
            <w:vAlign w:val="center"/>
          </w:tcPr>
          <w:p>
            <w:pPr>
              <w:spacing w:line="360" w:lineRule="auto"/>
              <w:rPr>
                <w:rFonts w:ascii="宋体" w:hAnsi="宋体" w:cs="宋体"/>
                <w:sz w:val="24"/>
              </w:rPr>
            </w:pPr>
            <w:r>
              <w:rPr>
                <w:rFonts w:hint="eastAsia" w:ascii="宋体" w:hAnsi="宋体" w:cs="宋体"/>
                <w:sz w:val="24"/>
              </w:rPr>
              <w:t xml:space="preserve">单位名称：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银行账号：</w:t>
            </w:r>
          </w:p>
        </w:tc>
      </w:tr>
    </w:tbl>
    <w:p>
      <w:pPr>
        <w:pStyle w:val="7"/>
        <w:rPr>
          <w:rFonts w:ascii="宋体" w:hAnsi="宋体" w:cs="宋体"/>
        </w:rPr>
      </w:pPr>
    </w:p>
    <w:p>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sz w:val="24"/>
        </w:rPr>
      </w:pPr>
      <w:r>
        <w:rPr>
          <w:rFonts w:hint="eastAsia" w:ascii="宋体" w:hAnsi="宋体" w:cs="宋体"/>
          <w:b/>
          <w:sz w:val="24"/>
        </w:rPr>
        <w:t>收 据</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兹收到</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r>
        <w:rPr>
          <w:rFonts w:hint="eastAsia" w:ascii="宋体" w:hAnsi="宋体" w:cs="宋体"/>
          <w:sz w:val="24"/>
        </w:rPr>
        <w:t>退回</w:t>
      </w:r>
      <w:r>
        <w:rPr>
          <w:rFonts w:hint="eastAsia" w:ascii="宋体" w:hAnsi="宋体" w:cs="宋体"/>
          <w:sz w:val="24"/>
          <w:u w:val="single"/>
        </w:rPr>
        <w:t xml:space="preserve">  （采购项目名称） </w:t>
      </w:r>
      <w:r>
        <w:rPr>
          <w:rFonts w:hint="eastAsia" w:ascii="宋体" w:hAnsi="宋体" w:cs="宋体"/>
          <w:sz w:val="24"/>
        </w:rPr>
        <w:t>项目（采购编号</w:t>
      </w:r>
      <w:r>
        <w:rPr>
          <w:rFonts w:hint="eastAsia" w:ascii="宋体" w:hAnsi="宋体" w:cs="宋体"/>
          <w:sz w:val="24"/>
          <w:u w:val="single"/>
        </w:rPr>
        <w:t xml:space="preserve">          </w:t>
      </w:r>
      <w:r>
        <w:rPr>
          <w:rFonts w:hint="eastAsia" w:ascii="宋体" w:hAnsi="宋体" w:cs="宋体"/>
          <w:sz w:val="24"/>
        </w:rPr>
        <w:t>）的投标保证金。金额为：大写（人民币：             ），小写（RMB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收款单位名称：        （加盖公章或财务专用章）</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日期：                                                                       </w:t>
      </w:r>
    </w:p>
    <w:p>
      <w:pPr>
        <w:pStyle w:val="9"/>
        <w:rPr>
          <w:rFonts w:hAnsi="宋体" w:eastAsia="宋体" w:cs="宋体"/>
          <w:color w:val="000000" w:themeColor="text1"/>
          <w:spacing w:val="10"/>
          <w14:textFill>
            <w14:solidFill>
              <w14:schemeClr w14:val="tx1"/>
            </w14:solidFill>
          </w14:textFill>
        </w:rPr>
      </w:pPr>
      <w:r>
        <w:rPr>
          <w:rFonts w:hint="eastAsia" w:hAnsi="宋体" w:cs="宋体"/>
          <w:b/>
          <w:bCs/>
          <w:sz w:val="24"/>
        </w:rPr>
        <w:t>备注：退还</w:t>
      </w:r>
      <w:r>
        <w:rPr>
          <w:rFonts w:hint="eastAsia" w:hAnsi="宋体" w:cs="宋体"/>
          <w:sz w:val="24"/>
        </w:rPr>
        <w:t>投标</w:t>
      </w:r>
      <w:r>
        <w:rPr>
          <w:rFonts w:hint="eastAsia" w:hAnsi="宋体" w:cs="宋体"/>
          <w:b/>
          <w:bCs/>
          <w:sz w:val="24"/>
        </w:rPr>
        <w:t>保证金申请书可以在投标当日同投标文件一起带到开标现场并交给采购人，并收据生效之日为采购人退还响应保证金之日。</w:t>
      </w:r>
    </w:p>
    <w:p>
      <w:pPr>
        <w:pStyle w:val="15"/>
      </w:pPr>
    </w:p>
    <w:sectPr>
      <w:footerReference r:id="rId21" w:type="default"/>
      <w:pgSz w:w="11906" w:h="16838"/>
      <w:pgMar w:top="1440" w:right="1800" w:bottom="1440" w:left="1800" w:header="93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长城小标宋体">
    <w:altName w:val="宋体"/>
    <w:panose1 w:val="02010609010101010101"/>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1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仿宋_GB2312" w:eastAsia="仿宋_GB2312" w:cs="Times New Roman"/>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pPr>
                      <w:pStyle w:val="10"/>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ascii="仿宋" w:hAnsi="仿宋" w:eastAsia="仿宋" w:cs="仿宋"/>
        <w:i/>
        <w:iCs/>
      </w:rPr>
    </w:pPr>
  </w:p>
  <w:p>
    <w:pPr>
      <w:pStyle w:val="11"/>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lYzczYzE5OTlmYTBiYjcxMDI2YjFiZGYyNGY4NmIifQ=="/>
  </w:docVars>
  <w:rsids>
    <w:rsidRoot w:val="004E73AF"/>
    <w:rsid w:val="00211F61"/>
    <w:rsid w:val="00466F38"/>
    <w:rsid w:val="004E73AF"/>
    <w:rsid w:val="00505519"/>
    <w:rsid w:val="00816543"/>
    <w:rsid w:val="00935EC2"/>
    <w:rsid w:val="00C3645A"/>
    <w:rsid w:val="00D00625"/>
    <w:rsid w:val="00E81C9E"/>
    <w:rsid w:val="013853AC"/>
    <w:rsid w:val="01734A71"/>
    <w:rsid w:val="02171777"/>
    <w:rsid w:val="023E1286"/>
    <w:rsid w:val="030669ED"/>
    <w:rsid w:val="032B7E17"/>
    <w:rsid w:val="034B5FC8"/>
    <w:rsid w:val="04E634F4"/>
    <w:rsid w:val="05B622F4"/>
    <w:rsid w:val="06803F38"/>
    <w:rsid w:val="07013F3A"/>
    <w:rsid w:val="078B333A"/>
    <w:rsid w:val="07C24B12"/>
    <w:rsid w:val="07D15ABF"/>
    <w:rsid w:val="085333A0"/>
    <w:rsid w:val="087E795F"/>
    <w:rsid w:val="09EC7123"/>
    <w:rsid w:val="09ED56C9"/>
    <w:rsid w:val="09FD1B72"/>
    <w:rsid w:val="0AB82BA2"/>
    <w:rsid w:val="0B530D41"/>
    <w:rsid w:val="0BF7590B"/>
    <w:rsid w:val="0C492847"/>
    <w:rsid w:val="0C6F65B1"/>
    <w:rsid w:val="0CF31D21"/>
    <w:rsid w:val="0F111837"/>
    <w:rsid w:val="0F81598B"/>
    <w:rsid w:val="0FB91E94"/>
    <w:rsid w:val="11C46A46"/>
    <w:rsid w:val="12E110C3"/>
    <w:rsid w:val="143E2438"/>
    <w:rsid w:val="15CB2DA0"/>
    <w:rsid w:val="166F3635"/>
    <w:rsid w:val="16806E74"/>
    <w:rsid w:val="16B70C5E"/>
    <w:rsid w:val="17AF353E"/>
    <w:rsid w:val="185870FA"/>
    <w:rsid w:val="185A544F"/>
    <w:rsid w:val="18890233"/>
    <w:rsid w:val="190D49C0"/>
    <w:rsid w:val="198737C7"/>
    <w:rsid w:val="19976A31"/>
    <w:rsid w:val="19DC6BDA"/>
    <w:rsid w:val="1AA56FDE"/>
    <w:rsid w:val="1B1B25BA"/>
    <w:rsid w:val="1B7913A6"/>
    <w:rsid w:val="1BD37727"/>
    <w:rsid w:val="1C5D3584"/>
    <w:rsid w:val="1D61352C"/>
    <w:rsid w:val="1DFA0457"/>
    <w:rsid w:val="1E5F5CBE"/>
    <w:rsid w:val="1E8307F5"/>
    <w:rsid w:val="1F457921"/>
    <w:rsid w:val="20D12777"/>
    <w:rsid w:val="20FB672E"/>
    <w:rsid w:val="213339C4"/>
    <w:rsid w:val="21677697"/>
    <w:rsid w:val="21A647F2"/>
    <w:rsid w:val="228D26CE"/>
    <w:rsid w:val="22916FA5"/>
    <w:rsid w:val="22FC53E3"/>
    <w:rsid w:val="247C6E9E"/>
    <w:rsid w:val="25650E5F"/>
    <w:rsid w:val="26010880"/>
    <w:rsid w:val="26C6322E"/>
    <w:rsid w:val="26F15921"/>
    <w:rsid w:val="27AE6298"/>
    <w:rsid w:val="294E0F60"/>
    <w:rsid w:val="2987716A"/>
    <w:rsid w:val="29AE18A7"/>
    <w:rsid w:val="2A6366FF"/>
    <w:rsid w:val="2AB053CC"/>
    <w:rsid w:val="2B3D5BF4"/>
    <w:rsid w:val="2C4141D8"/>
    <w:rsid w:val="2CA11417"/>
    <w:rsid w:val="2F4D3609"/>
    <w:rsid w:val="2F5836E9"/>
    <w:rsid w:val="30062480"/>
    <w:rsid w:val="300C782F"/>
    <w:rsid w:val="30556F21"/>
    <w:rsid w:val="308C5F1F"/>
    <w:rsid w:val="31111553"/>
    <w:rsid w:val="314B6E80"/>
    <w:rsid w:val="32843E96"/>
    <w:rsid w:val="34454474"/>
    <w:rsid w:val="36162BCB"/>
    <w:rsid w:val="36A71B58"/>
    <w:rsid w:val="37103BA1"/>
    <w:rsid w:val="37514AF4"/>
    <w:rsid w:val="377C0298"/>
    <w:rsid w:val="37B04D36"/>
    <w:rsid w:val="39B5543D"/>
    <w:rsid w:val="39C31C6C"/>
    <w:rsid w:val="3A6303AE"/>
    <w:rsid w:val="3A993EAE"/>
    <w:rsid w:val="3AAE4680"/>
    <w:rsid w:val="3AB61186"/>
    <w:rsid w:val="3C283344"/>
    <w:rsid w:val="3C485F9D"/>
    <w:rsid w:val="3C7C70D7"/>
    <w:rsid w:val="3C940DD1"/>
    <w:rsid w:val="3D7F52A1"/>
    <w:rsid w:val="3E0C6463"/>
    <w:rsid w:val="3EE43BF5"/>
    <w:rsid w:val="3F9A1036"/>
    <w:rsid w:val="403E57B7"/>
    <w:rsid w:val="411A0F39"/>
    <w:rsid w:val="415A5C88"/>
    <w:rsid w:val="41CE08E1"/>
    <w:rsid w:val="41F550F8"/>
    <w:rsid w:val="42112513"/>
    <w:rsid w:val="42A06E24"/>
    <w:rsid w:val="433C7ACC"/>
    <w:rsid w:val="435518AD"/>
    <w:rsid w:val="43C04259"/>
    <w:rsid w:val="44177BC5"/>
    <w:rsid w:val="44C67F95"/>
    <w:rsid w:val="4559568A"/>
    <w:rsid w:val="45A47533"/>
    <w:rsid w:val="45F153A7"/>
    <w:rsid w:val="46BC402D"/>
    <w:rsid w:val="472961BF"/>
    <w:rsid w:val="475528CD"/>
    <w:rsid w:val="47B265AF"/>
    <w:rsid w:val="4913695E"/>
    <w:rsid w:val="496717C4"/>
    <w:rsid w:val="4A063A4F"/>
    <w:rsid w:val="4A875AD1"/>
    <w:rsid w:val="4AE27CAC"/>
    <w:rsid w:val="4B1B2ECF"/>
    <w:rsid w:val="4B6E282F"/>
    <w:rsid w:val="4BAC48C9"/>
    <w:rsid w:val="4BB27DC6"/>
    <w:rsid w:val="4CEA2347"/>
    <w:rsid w:val="4D243428"/>
    <w:rsid w:val="4E1E04FA"/>
    <w:rsid w:val="4EFA25EF"/>
    <w:rsid w:val="4F9246A8"/>
    <w:rsid w:val="4FEB08B0"/>
    <w:rsid w:val="50A13664"/>
    <w:rsid w:val="51937E4D"/>
    <w:rsid w:val="51D14ACF"/>
    <w:rsid w:val="52383592"/>
    <w:rsid w:val="523875F5"/>
    <w:rsid w:val="52506204"/>
    <w:rsid w:val="52A43BCA"/>
    <w:rsid w:val="53267A0B"/>
    <w:rsid w:val="532A13FB"/>
    <w:rsid w:val="53FA1DF3"/>
    <w:rsid w:val="548F1436"/>
    <w:rsid w:val="54AB2D04"/>
    <w:rsid w:val="557B35BC"/>
    <w:rsid w:val="565C1CF5"/>
    <w:rsid w:val="571F3A0C"/>
    <w:rsid w:val="57F2034A"/>
    <w:rsid w:val="58207565"/>
    <w:rsid w:val="58235318"/>
    <w:rsid w:val="59121C77"/>
    <w:rsid w:val="59DE0E09"/>
    <w:rsid w:val="59DF6851"/>
    <w:rsid w:val="5A283DD0"/>
    <w:rsid w:val="5ACD76EE"/>
    <w:rsid w:val="5AD36B10"/>
    <w:rsid w:val="5B366E46"/>
    <w:rsid w:val="5B3D7F5F"/>
    <w:rsid w:val="5B460326"/>
    <w:rsid w:val="5F0279C4"/>
    <w:rsid w:val="5F580348"/>
    <w:rsid w:val="5F944466"/>
    <w:rsid w:val="60844C26"/>
    <w:rsid w:val="60A9029A"/>
    <w:rsid w:val="60FA16F8"/>
    <w:rsid w:val="6139287F"/>
    <w:rsid w:val="61826F89"/>
    <w:rsid w:val="63CF15A0"/>
    <w:rsid w:val="64156F42"/>
    <w:rsid w:val="65A92947"/>
    <w:rsid w:val="661A50B7"/>
    <w:rsid w:val="66542DDD"/>
    <w:rsid w:val="673E5F91"/>
    <w:rsid w:val="679A7B08"/>
    <w:rsid w:val="67D6317A"/>
    <w:rsid w:val="67D649B5"/>
    <w:rsid w:val="68ED6365"/>
    <w:rsid w:val="69F81D65"/>
    <w:rsid w:val="6A4E3ABD"/>
    <w:rsid w:val="6AE63D7E"/>
    <w:rsid w:val="6B462C2B"/>
    <w:rsid w:val="6B8359E9"/>
    <w:rsid w:val="6BD277B9"/>
    <w:rsid w:val="6C321620"/>
    <w:rsid w:val="6DA02882"/>
    <w:rsid w:val="6DA12E69"/>
    <w:rsid w:val="6DBB3B60"/>
    <w:rsid w:val="6E9A4A6A"/>
    <w:rsid w:val="6F0B4673"/>
    <w:rsid w:val="700E4F44"/>
    <w:rsid w:val="70173239"/>
    <w:rsid w:val="711D3FA5"/>
    <w:rsid w:val="717767B4"/>
    <w:rsid w:val="718A2F1E"/>
    <w:rsid w:val="721A5B23"/>
    <w:rsid w:val="72B931C1"/>
    <w:rsid w:val="72F96CB0"/>
    <w:rsid w:val="734A515C"/>
    <w:rsid w:val="738D03F5"/>
    <w:rsid w:val="73E442FB"/>
    <w:rsid w:val="767E5B01"/>
    <w:rsid w:val="778F44F9"/>
    <w:rsid w:val="77F2017E"/>
    <w:rsid w:val="79017606"/>
    <w:rsid w:val="7983686A"/>
    <w:rsid w:val="79D7762B"/>
    <w:rsid w:val="79EB254B"/>
    <w:rsid w:val="7BA82ABD"/>
    <w:rsid w:val="7C757EAB"/>
    <w:rsid w:val="7D0A41BC"/>
    <w:rsid w:val="7D0A4B32"/>
    <w:rsid w:val="7D797C2B"/>
    <w:rsid w:val="7DAC6A56"/>
    <w:rsid w:val="7E381ACE"/>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customStyle="1" w:styleId="2">
    <w:name w:val="Normal Indent1"/>
    <w:basedOn w:val="1"/>
    <w:autoRedefine/>
    <w:qFormat/>
    <w:uiPriority w:val="0"/>
    <w:pPr>
      <w:ind w:firstLine="420" w:firstLineChars="200"/>
    </w:pPr>
  </w:style>
  <w:style w:type="paragraph" w:styleId="6">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7">
    <w:name w:val="Body Text"/>
    <w:basedOn w:val="1"/>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8">
    <w:name w:val="Body Text Indent"/>
    <w:basedOn w:val="1"/>
    <w:autoRedefine/>
    <w:qFormat/>
    <w:uiPriority w:val="0"/>
    <w:pPr>
      <w:spacing w:line="480" w:lineRule="exact"/>
      <w:ind w:firstLine="480" w:firstLineChars="200"/>
    </w:pPr>
    <w:rPr>
      <w:rFonts w:ascii="宋体" w:hAnsi="宋体"/>
      <w:sz w:val="24"/>
    </w:rPr>
  </w:style>
  <w:style w:type="paragraph" w:styleId="9">
    <w:name w:val="Plain Text"/>
    <w:basedOn w:val="1"/>
    <w:autoRedefine/>
    <w:qFormat/>
    <w:uiPriority w:val="0"/>
    <w:rPr>
      <w:rFonts w:ascii="宋体" w:hAnsi="Courier New"/>
      <w:szCs w:val="22"/>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autoRedefine/>
    <w:qFormat/>
    <w:uiPriority w:val="39"/>
    <w:pPr>
      <w:jc w:val="left"/>
    </w:pPr>
    <w:rPr>
      <w:b/>
      <w:caps/>
    </w:rPr>
  </w:style>
  <w:style w:type="paragraph" w:styleId="13">
    <w:name w:val="toc 6"/>
    <w:basedOn w:val="1"/>
    <w:next w:val="1"/>
    <w:autoRedefine/>
    <w:qFormat/>
    <w:uiPriority w:val="0"/>
    <w:pPr>
      <w:ind w:left="2100" w:leftChars="1000"/>
    </w:pPr>
  </w:style>
  <w:style w:type="paragraph" w:styleId="14">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15">
    <w:name w:val="Body Text First Indent"/>
    <w:basedOn w:val="7"/>
    <w:next w:val="1"/>
    <w:autoRedefine/>
    <w:qFormat/>
    <w:uiPriority w:val="0"/>
    <w:pPr>
      <w:ind w:firstLine="420"/>
    </w:pPr>
    <w:rPr>
      <w:rFonts w:hAnsi="Times New Roman" w:cs="Times New Roman"/>
      <w:snapToGrid/>
      <w:szCs w:val="20"/>
    </w:rPr>
  </w:style>
  <w:style w:type="table" w:styleId="17">
    <w:name w:val="Table Grid"/>
    <w:basedOn w:val="16"/>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9">
    <w:name w:val="样式 标题 1 + 四号 加粗"/>
    <w:basedOn w:val="3"/>
    <w:autoRedefine/>
    <w:qFormat/>
    <w:uiPriority w:val="0"/>
  </w:style>
  <w:style w:type="paragraph" w:customStyle="1" w:styleId="20">
    <w:name w:val="Table Paragraph"/>
    <w:basedOn w:val="1"/>
    <w:autoRedefine/>
    <w:qFormat/>
    <w:uiPriority w:val="1"/>
    <w:rPr>
      <w:rFonts w:ascii="宋体" w:hAnsi="宋体" w:eastAsia="宋体" w:cs="宋体"/>
      <w:lang w:val="zh-CN" w:bidi="zh-CN"/>
    </w:rPr>
  </w:style>
  <w:style w:type="paragraph" w:customStyle="1" w:styleId="21">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2">
    <w:name w:val="样式1"/>
    <w:basedOn w:val="1"/>
    <w:autoRedefine/>
    <w:qFormat/>
    <w:uiPriority w:val="0"/>
    <w:pPr>
      <w:spacing w:line="360" w:lineRule="exact"/>
      <w:ind w:firstLine="200" w:firstLineChars="200"/>
    </w:pPr>
    <w:rPr>
      <w:rFonts w:ascii="Arial" w:hAnsi="Arial"/>
    </w:rPr>
  </w:style>
  <w:style w:type="paragraph" w:customStyle="1" w:styleId="23">
    <w:name w:val="正文2"/>
    <w:basedOn w:val="1"/>
    <w:autoRedefine/>
    <w:qFormat/>
    <w:uiPriority w:val="0"/>
    <w:pPr>
      <w:spacing w:before="156" w:line="360" w:lineRule="auto"/>
      <w:ind w:firstLine="510" w:firstLineChars="200"/>
    </w:pPr>
    <w:rPr>
      <w:sz w:val="24"/>
      <w:szCs w:val="20"/>
    </w:rPr>
  </w:style>
  <w:style w:type="paragraph" w:customStyle="1" w:styleId="2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5">
    <w:name w:val="正文缩进1"/>
    <w:basedOn w:val="1"/>
    <w:next w:val="8"/>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6">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7">
    <w:name w:val="纯文本1"/>
    <w:basedOn w:val="1"/>
    <w:autoRedefine/>
    <w:qFormat/>
    <w:uiPriority w:val="0"/>
    <w:rPr>
      <w:rFonts w:ascii="宋体" w:hAnsi="Courier New"/>
      <w:kern w:val="0"/>
      <w:sz w:val="20"/>
      <w:szCs w:val="20"/>
    </w:rPr>
  </w:style>
  <w:style w:type="paragraph" w:customStyle="1" w:styleId="28">
    <w:name w:val="纯文本_0_0"/>
    <w:basedOn w:val="29"/>
    <w:autoRedefine/>
    <w:qFormat/>
    <w:uiPriority w:val="0"/>
    <w:rPr>
      <w:rFonts w:ascii="宋体" w:hAnsi="Courier New"/>
      <w:szCs w:val="21"/>
    </w:rPr>
  </w:style>
  <w:style w:type="paragraph" w:customStyle="1" w:styleId="29">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0">
    <w:name w:val="List Paragraph"/>
    <w:basedOn w:val="1"/>
    <w:autoRedefine/>
    <w:qFormat/>
    <w:uiPriority w:val="99"/>
    <w:pPr>
      <w:ind w:firstLine="420" w:firstLineChars="200"/>
    </w:pPr>
  </w:style>
  <w:style w:type="paragraph" w:customStyle="1" w:styleId="31">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2">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3">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4">
    <w:name w:val="正文文字缩进"/>
    <w:basedOn w:val="1"/>
    <w:autoRedefine/>
    <w:qFormat/>
    <w:uiPriority w:val="0"/>
    <w:pPr>
      <w:widowControl/>
      <w:spacing w:line="351" w:lineRule="atLeast"/>
      <w:ind w:firstLine="436"/>
      <w:textAlignment w:val="baseline"/>
    </w:pPr>
    <w:rPr>
      <w:color w:val="000000"/>
      <w:kern w:val="0"/>
      <w:sz w:val="30"/>
      <w:u w:color="000000"/>
    </w:rPr>
  </w:style>
  <w:style w:type="character" w:customStyle="1" w:styleId="35">
    <w:name w:val="font11"/>
    <w:basedOn w:val="18"/>
    <w:autoRedefine/>
    <w:qFormat/>
    <w:uiPriority w:val="0"/>
    <w:rPr>
      <w:rFonts w:hint="eastAsia" w:ascii="宋体" w:hAnsi="宋体" w:eastAsia="宋体" w:cs="宋体"/>
      <w:color w:val="000000"/>
      <w:sz w:val="24"/>
      <w:szCs w:val="24"/>
      <w:u w:val="none"/>
    </w:rPr>
  </w:style>
  <w:style w:type="character" w:customStyle="1" w:styleId="36">
    <w:name w:val="font81"/>
    <w:basedOn w:val="18"/>
    <w:autoRedefine/>
    <w:qFormat/>
    <w:uiPriority w:val="0"/>
    <w:rPr>
      <w:rFonts w:ascii="Segoe UI Symbol" w:hAnsi="Segoe UI Symbol" w:eastAsia="Segoe UI Symbol" w:cs="Segoe UI Symbol"/>
      <w:color w:val="000000"/>
      <w:sz w:val="24"/>
      <w:szCs w:val="24"/>
      <w:u w:val="none"/>
    </w:rPr>
  </w:style>
  <w:style w:type="paragraph" w:customStyle="1" w:styleId="37">
    <w:name w:val="表格内容"/>
    <w:basedOn w:val="1"/>
    <w:autoRedefine/>
    <w:qFormat/>
    <w:uiPriority w:val="0"/>
    <w:pPr>
      <w:adjustRightInd w:val="0"/>
      <w:jc w:val="center"/>
    </w:pPr>
    <w:rPr>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25081</Words>
  <Characters>26599</Characters>
  <Lines>224</Lines>
  <Paragraphs>63</Paragraphs>
  <TotalTime>5</TotalTime>
  <ScaleCrop>false</ScaleCrop>
  <LinksUpToDate>false</LinksUpToDate>
  <CharactersWithSpaces>29835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胡少杰</cp:lastModifiedBy>
  <dcterms:modified xsi:type="dcterms:W3CDTF">2024-02-21T07:43:12Z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84A4714C30764EB0859368879CA3AF87_13</vt:lpwstr>
  </property>
</Properties>
</file>